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457" w:rsidRDefault="00745AD5" w:rsidP="006A4B37">
      <w:pPr>
        <w:jc w:val="center"/>
        <w:rPr>
          <w:sz w:val="21"/>
        </w:rPr>
      </w:pPr>
      <w:r>
        <w:rPr>
          <w:noProof/>
        </w:rPr>
        <w:drawing>
          <wp:inline distT="0" distB="0" distL="0" distR="0">
            <wp:extent cx="5762625" cy="1257300"/>
            <wp:effectExtent l="0" t="0" r="9525" b="0"/>
            <wp:docPr id="1" name="Afbeelding 1" descr="platform beeldmerk brief hoofd zonder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 beeldmerk brief hoofd zonder balk"/>
                    <pic:cNvPicPr>
                      <a:picLocks noChangeAspect="1" noChangeArrowheads="1"/>
                    </pic:cNvPicPr>
                  </pic:nvPicPr>
                  <pic:blipFill>
                    <a:blip r:embed="rId5" cstate="print">
                      <a:extLst>
                        <a:ext uri="{28A0092B-C50C-407E-A947-70E740481C1C}">
                          <a14:useLocalDpi xmlns:a14="http://schemas.microsoft.com/office/drawing/2010/main" val="0"/>
                        </a:ext>
                      </a:extLst>
                    </a:blip>
                    <a:srcRect t="24286" b="24286"/>
                    <a:stretch>
                      <a:fillRect/>
                    </a:stretch>
                  </pic:blipFill>
                  <pic:spPr bwMode="auto">
                    <a:xfrm>
                      <a:off x="0" y="0"/>
                      <a:ext cx="5762625" cy="1257300"/>
                    </a:xfrm>
                    <a:prstGeom prst="rect">
                      <a:avLst/>
                    </a:prstGeom>
                    <a:noFill/>
                    <a:ln>
                      <a:noFill/>
                    </a:ln>
                  </pic:spPr>
                </pic:pic>
              </a:graphicData>
            </a:graphic>
          </wp:inline>
        </w:drawing>
      </w:r>
    </w:p>
    <w:p w:rsidR="00745AD5" w:rsidRDefault="00745AD5" w:rsidP="003B4B0B">
      <w:pPr>
        <w:rPr>
          <w:sz w:val="21"/>
        </w:rPr>
      </w:pPr>
    </w:p>
    <w:p w:rsidR="00745AD5" w:rsidRDefault="00AA3B87" w:rsidP="00745AD5">
      <w:pPr>
        <w:jc w:val="center"/>
        <w:rPr>
          <w:b/>
          <w:sz w:val="28"/>
          <w:szCs w:val="28"/>
        </w:rPr>
      </w:pPr>
      <w:r>
        <w:rPr>
          <w:b/>
          <w:sz w:val="32"/>
          <w:szCs w:val="32"/>
        </w:rPr>
        <w:t>Verslag</w:t>
      </w:r>
      <w:r w:rsidR="00745AD5">
        <w:rPr>
          <w:b/>
          <w:sz w:val="32"/>
          <w:szCs w:val="32"/>
        </w:rPr>
        <w:t xml:space="preserve"> bijeenkomst pijler Financiën PMG </w:t>
      </w:r>
      <w:r w:rsidR="00745AD5">
        <w:rPr>
          <w:b/>
          <w:sz w:val="28"/>
          <w:szCs w:val="28"/>
        </w:rPr>
        <w:t xml:space="preserve">d.d. </w:t>
      </w:r>
      <w:r w:rsidR="002C3CC5">
        <w:rPr>
          <w:b/>
          <w:sz w:val="28"/>
          <w:szCs w:val="28"/>
        </w:rPr>
        <w:t>9 novem</w:t>
      </w:r>
      <w:r w:rsidR="001D5559">
        <w:rPr>
          <w:b/>
          <w:sz w:val="28"/>
          <w:szCs w:val="28"/>
        </w:rPr>
        <w:t>ber 201</w:t>
      </w:r>
      <w:r w:rsidR="002C3CC5">
        <w:rPr>
          <w:b/>
          <w:sz w:val="28"/>
          <w:szCs w:val="28"/>
        </w:rPr>
        <w:t>8</w:t>
      </w:r>
      <w:r w:rsidR="0013002F">
        <w:rPr>
          <w:b/>
          <w:sz w:val="28"/>
          <w:szCs w:val="28"/>
        </w:rPr>
        <w:t xml:space="preserve"> van 1</w:t>
      </w:r>
      <w:r w:rsidR="002C3CC5">
        <w:rPr>
          <w:b/>
          <w:sz w:val="28"/>
          <w:szCs w:val="28"/>
        </w:rPr>
        <w:t>3</w:t>
      </w:r>
      <w:r w:rsidR="001D5559">
        <w:rPr>
          <w:b/>
          <w:sz w:val="28"/>
          <w:szCs w:val="28"/>
        </w:rPr>
        <w:t>.</w:t>
      </w:r>
      <w:r w:rsidR="002C3CC5">
        <w:rPr>
          <w:b/>
          <w:sz w:val="28"/>
          <w:szCs w:val="28"/>
        </w:rPr>
        <w:t>15</w:t>
      </w:r>
      <w:r w:rsidR="003B6433">
        <w:rPr>
          <w:b/>
          <w:sz w:val="28"/>
          <w:szCs w:val="28"/>
        </w:rPr>
        <w:t xml:space="preserve"> uur tot 1</w:t>
      </w:r>
      <w:r w:rsidR="002C3CC5">
        <w:rPr>
          <w:b/>
          <w:sz w:val="28"/>
          <w:szCs w:val="28"/>
        </w:rPr>
        <w:t>4.0</w:t>
      </w:r>
      <w:r w:rsidR="00745AD5">
        <w:rPr>
          <w:b/>
          <w:sz w:val="28"/>
          <w:szCs w:val="28"/>
        </w:rPr>
        <w:t>0 uur</w:t>
      </w:r>
      <w:r>
        <w:rPr>
          <w:b/>
          <w:sz w:val="28"/>
          <w:szCs w:val="28"/>
        </w:rPr>
        <w:t xml:space="preserve"> in Waalwijk</w:t>
      </w:r>
    </w:p>
    <w:p w:rsidR="00745AD5" w:rsidRDefault="00745AD5" w:rsidP="003B4B0B">
      <w:pPr>
        <w:rPr>
          <w:sz w:val="21"/>
        </w:rPr>
      </w:pPr>
    </w:p>
    <w:p w:rsidR="00AA3B87" w:rsidRDefault="00AA3B87" w:rsidP="003B4B0B">
      <w:pPr>
        <w:rPr>
          <w:sz w:val="21"/>
        </w:rPr>
      </w:pPr>
      <w:r>
        <w:rPr>
          <w:sz w:val="21"/>
        </w:rPr>
        <w:t xml:space="preserve">Voorzitter: </w:t>
      </w:r>
      <w:proofErr w:type="spellStart"/>
      <w:r>
        <w:rPr>
          <w:sz w:val="21"/>
        </w:rPr>
        <w:t>M.Willemsen</w:t>
      </w:r>
      <w:proofErr w:type="spellEnd"/>
      <w:r>
        <w:rPr>
          <w:sz w:val="21"/>
        </w:rPr>
        <w:t>, wethouder gemeente Oosterhout</w:t>
      </w:r>
    </w:p>
    <w:p w:rsidR="00AA3B87" w:rsidRDefault="00AA3B87" w:rsidP="003B4B0B">
      <w:pPr>
        <w:rPr>
          <w:sz w:val="21"/>
        </w:rPr>
      </w:pPr>
      <w:r>
        <w:rPr>
          <w:sz w:val="21"/>
        </w:rPr>
        <w:t>Aanwezig: 16 deelnemers</w:t>
      </w:r>
    </w:p>
    <w:p w:rsidR="00745AD5" w:rsidRDefault="00745AD5" w:rsidP="003B4B0B">
      <w:pPr>
        <w:rPr>
          <w:sz w:val="21"/>
        </w:rPr>
      </w:pPr>
    </w:p>
    <w:p w:rsidR="006A4B37" w:rsidRDefault="00745AD5" w:rsidP="006A4B37">
      <w:pPr>
        <w:numPr>
          <w:ilvl w:val="0"/>
          <w:numId w:val="23"/>
        </w:numPr>
        <w:rPr>
          <w:b/>
          <w:sz w:val="22"/>
          <w:szCs w:val="22"/>
        </w:rPr>
      </w:pPr>
      <w:r w:rsidRPr="004D43C8">
        <w:rPr>
          <w:b/>
          <w:sz w:val="22"/>
          <w:szCs w:val="22"/>
        </w:rPr>
        <w:t>Opening</w:t>
      </w:r>
      <w:r w:rsidRPr="004D43C8">
        <w:rPr>
          <w:sz w:val="22"/>
          <w:szCs w:val="22"/>
        </w:rPr>
        <w:t xml:space="preserve"> </w:t>
      </w:r>
      <w:r w:rsidR="003B2248" w:rsidRPr="004D43C8">
        <w:rPr>
          <w:b/>
          <w:sz w:val="22"/>
          <w:szCs w:val="22"/>
        </w:rPr>
        <w:t>en m</w:t>
      </w:r>
      <w:r w:rsidRPr="004D43C8">
        <w:rPr>
          <w:b/>
          <w:sz w:val="22"/>
          <w:szCs w:val="22"/>
        </w:rPr>
        <w:t>ededelingen</w:t>
      </w:r>
      <w:r w:rsidR="00F47500" w:rsidRPr="004D43C8">
        <w:rPr>
          <w:b/>
          <w:sz w:val="22"/>
          <w:szCs w:val="22"/>
        </w:rPr>
        <w:t xml:space="preserve"> </w:t>
      </w:r>
    </w:p>
    <w:p w:rsidR="00AA3B87" w:rsidRDefault="00AA3B87" w:rsidP="00AA3B87">
      <w:pPr>
        <w:ind w:left="360"/>
        <w:rPr>
          <w:sz w:val="22"/>
          <w:szCs w:val="22"/>
        </w:rPr>
      </w:pPr>
      <w:r>
        <w:rPr>
          <w:sz w:val="22"/>
          <w:szCs w:val="22"/>
        </w:rPr>
        <w:t>De voorzitter opent de vergadering en heet iedereen van harte welkom en in het bijzonder de heer Jacobs van de VNG.</w:t>
      </w:r>
    </w:p>
    <w:p w:rsidR="004D43C8" w:rsidRPr="004D43C8" w:rsidRDefault="004D43C8" w:rsidP="004D43C8">
      <w:pPr>
        <w:ind w:left="502"/>
        <w:rPr>
          <w:b/>
          <w:sz w:val="22"/>
          <w:szCs w:val="22"/>
        </w:rPr>
      </w:pPr>
    </w:p>
    <w:p w:rsidR="00745AD5" w:rsidRDefault="003B6433" w:rsidP="00745AD5">
      <w:pPr>
        <w:pStyle w:val="Lijstalinea"/>
        <w:numPr>
          <w:ilvl w:val="0"/>
          <w:numId w:val="23"/>
        </w:numPr>
        <w:rPr>
          <w:b/>
          <w:sz w:val="22"/>
          <w:szCs w:val="22"/>
        </w:rPr>
      </w:pPr>
      <w:r w:rsidRPr="006A4B37">
        <w:rPr>
          <w:b/>
          <w:sz w:val="22"/>
          <w:szCs w:val="22"/>
        </w:rPr>
        <w:t xml:space="preserve">Verslag van de </w:t>
      </w:r>
      <w:r w:rsidR="00A8713E">
        <w:rPr>
          <w:b/>
          <w:sz w:val="22"/>
          <w:szCs w:val="22"/>
        </w:rPr>
        <w:t>bijeenkomst van</w:t>
      </w:r>
      <w:r w:rsidR="001D5559">
        <w:rPr>
          <w:b/>
          <w:sz w:val="22"/>
          <w:szCs w:val="22"/>
        </w:rPr>
        <w:t xml:space="preserve"> 1</w:t>
      </w:r>
      <w:r w:rsidR="00CA6865">
        <w:rPr>
          <w:b/>
          <w:sz w:val="22"/>
          <w:szCs w:val="22"/>
        </w:rPr>
        <w:t>0</w:t>
      </w:r>
      <w:r w:rsidR="002C3CC5">
        <w:rPr>
          <w:b/>
          <w:sz w:val="22"/>
          <w:szCs w:val="22"/>
        </w:rPr>
        <w:t xml:space="preserve"> oktober </w:t>
      </w:r>
      <w:r w:rsidR="00145CC9">
        <w:rPr>
          <w:b/>
          <w:sz w:val="22"/>
          <w:szCs w:val="22"/>
        </w:rPr>
        <w:t xml:space="preserve"> </w:t>
      </w:r>
      <w:r w:rsidR="002C3CC5">
        <w:rPr>
          <w:b/>
          <w:sz w:val="22"/>
          <w:szCs w:val="22"/>
        </w:rPr>
        <w:t>2018</w:t>
      </w:r>
      <w:r w:rsidR="00A8713E">
        <w:rPr>
          <w:b/>
          <w:sz w:val="22"/>
          <w:szCs w:val="22"/>
        </w:rPr>
        <w:t xml:space="preserve"> </w:t>
      </w:r>
      <w:r w:rsidR="006A4B37" w:rsidRPr="006A4B37">
        <w:rPr>
          <w:b/>
          <w:sz w:val="22"/>
          <w:szCs w:val="22"/>
        </w:rPr>
        <w:t xml:space="preserve"> </w:t>
      </w:r>
    </w:p>
    <w:p w:rsidR="00AA3B87" w:rsidRPr="00AA3B87" w:rsidRDefault="00AA3B87" w:rsidP="00AA3B87">
      <w:pPr>
        <w:pStyle w:val="Lijstalinea"/>
        <w:ind w:left="360"/>
        <w:rPr>
          <w:sz w:val="22"/>
          <w:szCs w:val="22"/>
        </w:rPr>
      </w:pPr>
      <w:r w:rsidRPr="00AA3B87">
        <w:rPr>
          <w:sz w:val="22"/>
          <w:szCs w:val="22"/>
        </w:rPr>
        <w:t>Het verslag wordt ongewijzigd vastgesteld.</w:t>
      </w:r>
    </w:p>
    <w:p w:rsidR="000B4D22" w:rsidRPr="000B4D22" w:rsidRDefault="000B4D22" w:rsidP="000B4D22">
      <w:pPr>
        <w:pStyle w:val="Lijstalinea"/>
        <w:rPr>
          <w:b/>
          <w:sz w:val="22"/>
          <w:szCs w:val="22"/>
        </w:rPr>
      </w:pPr>
    </w:p>
    <w:p w:rsidR="000B4D22" w:rsidRDefault="002D1A76" w:rsidP="00745AD5">
      <w:pPr>
        <w:pStyle w:val="Lijstalinea"/>
        <w:numPr>
          <w:ilvl w:val="0"/>
          <w:numId w:val="23"/>
        </w:numPr>
        <w:rPr>
          <w:b/>
          <w:sz w:val="22"/>
          <w:szCs w:val="22"/>
        </w:rPr>
      </w:pPr>
      <w:r>
        <w:rPr>
          <w:b/>
          <w:sz w:val="22"/>
          <w:szCs w:val="22"/>
        </w:rPr>
        <w:t xml:space="preserve">Ontwikkelingen </w:t>
      </w:r>
      <w:r w:rsidR="002C3CC5">
        <w:rPr>
          <w:b/>
          <w:sz w:val="22"/>
          <w:szCs w:val="22"/>
        </w:rPr>
        <w:t>gemeentefonds</w:t>
      </w:r>
    </w:p>
    <w:p w:rsidR="002C3CC5" w:rsidRDefault="002C3CC5" w:rsidP="00AA3B87">
      <w:pPr>
        <w:ind w:left="502"/>
        <w:rPr>
          <w:sz w:val="22"/>
          <w:szCs w:val="22"/>
        </w:rPr>
      </w:pPr>
      <w:r w:rsidRPr="002C3CC5">
        <w:rPr>
          <w:sz w:val="22"/>
          <w:szCs w:val="22"/>
        </w:rPr>
        <w:t xml:space="preserve">De heer </w:t>
      </w:r>
      <w:r>
        <w:rPr>
          <w:sz w:val="22"/>
          <w:szCs w:val="22"/>
        </w:rPr>
        <w:t>Ton Jacobs van de VNG geeft</w:t>
      </w:r>
      <w:r w:rsidR="00904BFA">
        <w:rPr>
          <w:sz w:val="22"/>
          <w:szCs w:val="22"/>
        </w:rPr>
        <w:t xml:space="preserve"> aan de hand van een presentatie (als bijlage bijgevoegd bij het verslag) </w:t>
      </w:r>
      <w:r>
        <w:rPr>
          <w:sz w:val="22"/>
          <w:szCs w:val="22"/>
        </w:rPr>
        <w:t xml:space="preserve"> een toelichting op het onderzoek dat het ministerie van BZK gaat uitvoeren voor de herziening van de financiële verhouding</w:t>
      </w:r>
      <w:r w:rsidR="00CF65E6">
        <w:rPr>
          <w:sz w:val="22"/>
          <w:szCs w:val="22"/>
        </w:rPr>
        <w:t>en</w:t>
      </w:r>
      <w:r>
        <w:rPr>
          <w:sz w:val="22"/>
          <w:szCs w:val="22"/>
        </w:rPr>
        <w:t>. Het traject bestaat uit een herziening van de verdeelmodellen van het sociaal domein en een heroverweging van de overige gemeentelijke taakvelden</w:t>
      </w:r>
      <w:r w:rsidR="00904BFA">
        <w:rPr>
          <w:sz w:val="22"/>
          <w:szCs w:val="22"/>
        </w:rPr>
        <w:t xml:space="preserve"> binnen het </w:t>
      </w:r>
      <w:r>
        <w:rPr>
          <w:sz w:val="22"/>
          <w:szCs w:val="22"/>
        </w:rPr>
        <w:t>gemeentefonds.</w:t>
      </w:r>
      <w:r w:rsidR="00904BFA">
        <w:rPr>
          <w:sz w:val="22"/>
          <w:szCs w:val="22"/>
        </w:rPr>
        <w:t xml:space="preserve"> De heer Jacobs geeft aan dat de huidige verdeling niet meer aansluit bij de huidige maatschappelijke ontwikkelingen. Via een aangenomen 2</w:t>
      </w:r>
      <w:r w:rsidR="00904BFA" w:rsidRPr="00904BFA">
        <w:rPr>
          <w:sz w:val="22"/>
          <w:szCs w:val="22"/>
          <w:vertAlign w:val="superscript"/>
        </w:rPr>
        <w:t>e</w:t>
      </w:r>
      <w:r w:rsidR="00904BFA">
        <w:rPr>
          <w:sz w:val="22"/>
          <w:szCs w:val="22"/>
        </w:rPr>
        <w:t xml:space="preserve"> Kamermotie is BZK opgedragen om opnieuw te kijken naar de bestaande verdeelsystematiek. </w:t>
      </w:r>
      <w:r w:rsidR="00CF65E6">
        <w:rPr>
          <w:sz w:val="22"/>
          <w:szCs w:val="22"/>
        </w:rPr>
        <w:t xml:space="preserve"> Inmiddels is gestart met het onderzoek. Dit moet uitmonden in keuzes die opgenomen gaan worden in de meicirculaire 2020 en ingevoerd wordt met ingang van 1 januari 2021. </w:t>
      </w:r>
      <w:r>
        <w:rPr>
          <w:sz w:val="22"/>
          <w:szCs w:val="22"/>
        </w:rPr>
        <w:t xml:space="preserve"> </w:t>
      </w:r>
      <w:r w:rsidR="00904BFA">
        <w:rPr>
          <w:sz w:val="22"/>
          <w:szCs w:val="22"/>
        </w:rPr>
        <w:t>Van belang als eerste stap in  het onderzoek naar de verdeelmodellen van het sociaal domein is welke onderzoeksmethodiek gekozen wordt. Hierin speelt ook de problematiek hoe je kosten sociaal domein kunt objectiveren. Wat is eigen beleid en wat niet.</w:t>
      </w:r>
    </w:p>
    <w:p w:rsidR="00904BFA" w:rsidRDefault="00904BFA" w:rsidP="00AA3B87">
      <w:pPr>
        <w:ind w:left="502"/>
        <w:rPr>
          <w:sz w:val="22"/>
          <w:szCs w:val="22"/>
        </w:rPr>
      </w:pPr>
      <w:r>
        <w:rPr>
          <w:sz w:val="22"/>
          <w:szCs w:val="22"/>
        </w:rPr>
        <w:t>In het onderzoek heroverweging financiële verhoudingen wordt nadrukkelijk gekeken naar de onderdelen centrumfunctie, vrijheidsgraden in taken, de OEM, belastingcapaciteit en uitkeringsstelsel. Nadrukkelijk wordt niet gekeken naar de omvang van het eigen belastinggebied</w:t>
      </w:r>
      <w:r w:rsidR="00CE5078">
        <w:rPr>
          <w:sz w:val="22"/>
          <w:szCs w:val="22"/>
        </w:rPr>
        <w:t xml:space="preserve"> gedurende de huidige kabinetsperiode. Met de heer Jacobs discussiëren de aanwezigen</w:t>
      </w:r>
      <w:r>
        <w:rPr>
          <w:sz w:val="22"/>
          <w:szCs w:val="22"/>
        </w:rPr>
        <w:t xml:space="preserve"> </w:t>
      </w:r>
      <w:r w:rsidR="00CE5078">
        <w:rPr>
          <w:sz w:val="22"/>
          <w:szCs w:val="22"/>
        </w:rPr>
        <w:t xml:space="preserve">over onderwerpen zoals de mate waarin de </w:t>
      </w:r>
      <w:r w:rsidR="00CF65E6">
        <w:rPr>
          <w:sz w:val="22"/>
          <w:szCs w:val="22"/>
        </w:rPr>
        <w:t>“a</w:t>
      </w:r>
      <w:r w:rsidR="00CE5078">
        <w:rPr>
          <w:sz w:val="22"/>
          <w:szCs w:val="22"/>
        </w:rPr>
        <w:t xml:space="preserve">ftrek”OZB in de algemene uitkering in de toekomst een rol moet spelen, de mate van globaliteit van berekening van de algemene uitkering, of wel is de huidige clusterindeling met 10 hoofdclusters en een groot aantal </w:t>
      </w:r>
      <w:proofErr w:type="spellStart"/>
      <w:r w:rsidR="00CE5078">
        <w:rPr>
          <w:sz w:val="22"/>
          <w:szCs w:val="22"/>
        </w:rPr>
        <w:t>subclusters</w:t>
      </w:r>
      <w:proofErr w:type="spellEnd"/>
      <w:r w:rsidR="00CE5078">
        <w:rPr>
          <w:sz w:val="22"/>
          <w:szCs w:val="22"/>
        </w:rPr>
        <w:t xml:space="preserve"> hanteerbaar. </w:t>
      </w:r>
    </w:p>
    <w:p w:rsidR="00CE5078" w:rsidRDefault="00CE5078" w:rsidP="00AA3B87">
      <w:pPr>
        <w:ind w:left="502"/>
        <w:rPr>
          <w:sz w:val="22"/>
          <w:szCs w:val="22"/>
        </w:rPr>
      </w:pPr>
      <w:r>
        <w:rPr>
          <w:sz w:val="22"/>
          <w:szCs w:val="22"/>
        </w:rPr>
        <w:t xml:space="preserve">De pijler staat nadrukkelijk stil hoe de pijler invloed kan uitoefenen op dit proces en op welke wijze de belangen van middelgrote  gemeenten beter behartigd kunnen worden. In de commissie Financiën van de VNG hebben wethouders van de gemeenten Coevorden en Meijerijstad inmiddels zitting. De voorzitter zal met beiden contact </w:t>
      </w:r>
      <w:r>
        <w:rPr>
          <w:sz w:val="22"/>
          <w:szCs w:val="22"/>
        </w:rPr>
        <w:lastRenderedPageBreak/>
        <w:t xml:space="preserve">opnemen en polsen op welke manier de inbreng van de pijler in die commissie kan worden geborgd. Ambtelijk heeft de heer Van Loon zitting in de klankbordgroep Heroverweging financiële verhoudingen en hij zal namens de pijler daar inbreng leveren. Hij zal er voor zorgdragen dat via de secretaris van de pijler (NB Vanaf 9 november 2018 is dat de heer Edwin Branderhorst van de gemeente Oosterhout) </w:t>
      </w:r>
      <w:r w:rsidR="00CF65E6">
        <w:rPr>
          <w:sz w:val="22"/>
          <w:szCs w:val="22"/>
        </w:rPr>
        <w:t>stukken gezonden gaan worden naar hoofde</w:t>
      </w:r>
      <w:r w:rsidR="00ED438F">
        <w:rPr>
          <w:sz w:val="22"/>
          <w:szCs w:val="22"/>
        </w:rPr>
        <w:t>n</w:t>
      </w:r>
      <w:bookmarkStart w:id="0" w:name="_GoBack"/>
      <w:bookmarkEnd w:id="0"/>
      <w:r w:rsidR="00CF65E6">
        <w:rPr>
          <w:sz w:val="22"/>
          <w:szCs w:val="22"/>
        </w:rPr>
        <w:t xml:space="preserve"> Financiën van de gemeenten, zodat zij hun wethouders kunnen adviseren en informeren.</w:t>
      </w:r>
    </w:p>
    <w:p w:rsidR="00CF65E6" w:rsidRPr="002C3CC5" w:rsidRDefault="00CF65E6" w:rsidP="00AA3B87">
      <w:pPr>
        <w:ind w:left="502"/>
        <w:rPr>
          <w:sz w:val="22"/>
          <w:szCs w:val="22"/>
        </w:rPr>
      </w:pPr>
    </w:p>
    <w:p w:rsidR="001D5559" w:rsidRPr="00AD567C" w:rsidRDefault="001D5559" w:rsidP="001D5559">
      <w:pPr>
        <w:ind w:left="502"/>
        <w:rPr>
          <w:sz w:val="22"/>
          <w:szCs w:val="22"/>
        </w:rPr>
      </w:pPr>
    </w:p>
    <w:p w:rsidR="007C6ABA" w:rsidRPr="006A4B37" w:rsidRDefault="005F0BA3" w:rsidP="007C472C">
      <w:pPr>
        <w:pStyle w:val="Lijstalinea"/>
        <w:numPr>
          <w:ilvl w:val="0"/>
          <w:numId w:val="23"/>
        </w:numPr>
        <w:rPr>
          <w:b/>
          <w:sz w:val="22"/>
          <w:szCs w:val="22"/>
        </w:rPr>
      </w:pPr>
      <w:r>
        <w:rPr>
          <w:b/>
          <w:sz w:val="22"/>
          <w:szCs w:val="22"/>
        </w:rPr>
        <w:t>W</w:t>
      </w:r>
      <w:r w:rsidR="007C6ABA" w:rsidRPr="006A4B37">
        <w:rPr>
          <w:b/>
          <w:sz w:val="22"/>
          <w:szCs w:val="22"/>
        </w:rPr>
        <w:t>at verder ter tafel komt</w:t>
      </w:r>
    </w:p>
    <w:p w:rsidR="003B2248" w:rsidRDefault="002D02CA" w:rsidP="003B2248">
      <w:pPr>
        <w:ind w:left="360"/>
        <w:rPr>
          <w:sz w:val="22"/>
          <w:szCs w:val="22"/>
        </w:rPr>
      </w:pPr>
      <w:r w:rsidRPr="006A4B37">
        <w:rPr>
          <w:sz w:val="22"/>
          <w:szCs w:val="22"/>
        </w:rPr>
        <w:t xml:space="preserve">  </w:t>
      </w:r>
    </w:p>
    <w:p w:rsidR="002C3CC5" w:rsidRDefault="002C3CC5" w:rsidP="002C3CC5">
      <w:pPr>
        <w:rPr>
          <w:sz w:val="22"/>
          <w:szCs w:val="22"/>
        </w:rPr>
      </w:pPr>
    </w:p>
    <w:p w:rsidR="002C3CC5" w:rsidRPr="005F1A26" w:rsidRDefault="005F1A26" w:rsidP="005F1A26">
      <w:pPr>
        <w:pStyle w:val="Lijstalinea"/>
        <w:numPr>
          <w:ilvl w:val="0"/>
          <w:numId w:val="23"/>
        </w:numPr>
        <w:rPr>
          <w:b/>
          <w:sz w:val="22"/>
          <w:szCs w:val="22"/>
        </w:rPr>
      </w:pPr>
      <w:r w:rsidRPr="005F1A26">
        <w:rPr>
          <w:b/>
          <w:sz w:val="22"/>
          <w:szCs w:val="22"/>
        </w:rPr>
        <w:t>Mogelijke onderwerpen volgende bijeenkomst</w:t>
      </w:r>
    </w:p>
    <w:p w:rsidR="005F1A26" w:rsidRPr="00145CC9" w:rsidRDefault="005F1A26" w:rsidP="005F1A26">
      <w:pPr>
        <w:pStyle w:val="Lijstalinea"/>
        <w:numPr>
          <w:ilvl w:val="0"/>
          <w:numId w:val="32"/>
        </w:numPr>
        <w:spacing w:line="288" w:lineRule="auto"/>
        <w:rPr>
          <w:rFonts w:cs="Tahoma"/>
          <w:sz w:val="22"/>
          <w:szCs w:val="22"/>
        </w:rPr>
      </w:pPr>
      <w:r w:rsidRPr="00145CC9">
        <w:rPr>
          <w:rFonts w:cs="Tahoma"/>
          <w:sz w:val="22"/>
          <w:szCs w:val="22"/>
        </w:rPr>
        <w:t>Ophoging normen onderwijshuisvesting</w:t>
      </w:r>
    </w:p>
    <w:p w:rsidR="005F1A26" w:rsidRPr="00145CC9" w:rsidRDefault="005F1A26" w:rsidP="005F1A26">
      <w:pPr>
        <w:pStyle w:val="Lijstalinea"/>
        <w:numPr>
          <w:ilvl w:val="0"/>
          <w:numId w:val="32"/>
        </w:numPr>
        <w:spacing w:line="288" w:lineRule="auto"/>
        <w:rPr>
          <w:rFonts w:cs="Tahoma"/>
          <w:sz w:val="22"/>
          <w:szCs w:val="22"/>
        </w:rPr>
      </w:pPr>
      <w:r w:rsidRPr="00145CC9">
        <w:rPr>
          <w:rFonts w:cs="Tahoma"/>
          <w:sz w:val="22"/>
          <w:szCs w:val="22"/>
        </w:rPr>
        <w:t>BTW-compensatiefonds: zijn er alternatieven?</w:t>
      </w:r>
    </w:p>
    <w:p w:rsidR="005F1A26" w:rsidRPr="00145CC9" w:rsidRDefault="005F1A26" w:rsidP="005F1A26">
      <w:pPr>
        <w:pStyle w:val="Lijstalinea"/>
        <w:numPr>
          <w:ilvl w:val="0"/>
          <w:numId w:val="32"/>
        </w:numPr>
        <w:spacing w:line="288" w:lineRule="auto"/>
        <w:rPr>
          <w:rFonts w:cs="Tahoma"/>
          <w:sz w:val="22"/>
          <w:szCs w:val="22"/>
        </w:rPr>
      </w:pPr>
      <w:r w:rsidRPr="00145CC9">
        <w:rPr>
          <w:rFonts w:cs="Tahoma"/>
          <w:sz w:val="22"/>
          <w:szCs w:val="22"/>
        </w:rPr>
        <w:t>Investeren in sportvoorzieningen?</w:t>
      </w:r>
    </w:p>
    <w:p w:rsidR="005F1A26" w:rsidRPr="00145CC9" w:rsidRDefault="005F1A26" w:rsidP="005F1A26">
      <w:pPr>
        <w:pStyle w:val="Lijstalinea"/>
        <w:numPr>
          <w:ilvl w:val="0"/>
          <w:numId w:val="32"/>
        </w:numPr>
        <w:spacing w:line="288" w:lineRule="auto"/>
        <w:rPr>
          <w:rFonts w:cs="Tahoma"/>
          <w:sz w:val="22"/>
          <w:szCs w:val="22"/>
        </w:rPr>
      </w:pPr>
      <w:r w:rsidRPr="00145CC9">
        <w:rPr>
          <w:rFonts w:cs="Tahoma"/>
          <w:sz w:val="22"/>
          <w:szCs w:val="22"/>
        </w:rPr>
        <w:t>Financiering energietransitie: welke mogelijkheden?</w:t>
      </w:r>
    </w:p>
    <w:p w:rsidR="005F1A26" w:rsidRPr="00145CC9" w:rsidRDefault="005F1A26" w:rsidP="005F1A26">
      <w:pPr>
        <w:pStyle w:val="Lijstalinea"/>
        <w:numPr>
          <w:ilvl w:val="0"/>
          <w:numId w:val="32"/>
        </w:numPr>
        <w:spacing w:line="288" w:lineRule="auto"/>
        <w:rPr>
          <w:rFonts w:cs="Tahoma"/>
          <w:sz w:val="22"/>
          <w:szCs w:val="22"/>
        </w:rPr>
      </w:pPr>
      <w:r w:rsidRPr="00145CC9">
        <w:rPr>
          <w:rFonts w:cs="Tahoma"/>
          <w:sz w:val="22"/>
          <w:szCs w:val="22"/>
        </w:rPr>
        <w:t>Verduurzaming (warmtekaart, warmteplannen)</w:t>
      </w:r>
    </w:p>
    <w:p w:rsidR="005F1A26" w:rsidRPr="00145CC9" w:rsidRDefault="005F1A26" w:rsidP="005F1A26">
      <w:pPr>
        <w:pStyle w:val="Lijstalinea"/>
        <w:numPr>
          <w:ilvl w:val="0"/>
          <w:numId w:val="32"/>
        </w:numPr>
        <w:spacing w:line="288" w:lineRule="auto"/>
        <w:rPr>
          <w:rFonts w:cs="Tahoma"/>
          <w:sz w:val="22"/>
          <w:szCs w:val="22"/>
        </w:rPr>
      </w:pPr>
      <w:r w:rsidRPr="00145CC9">
        <w:rPr>
          <w:rFonts w:cs="Tahoma"/>
          <w:sz w:val="22"/>
          <w:szCs w:val="22"/>
        </w:rPr>
        <w:t>Verdeelmodel sociaal domein</w:t>
      </w:r>
    </w:p>
    <w:p w:rsidR="005F1A26" w:rsidRPr="00145CC9" w:rsidRDefault="005F1A26" w:rsidP="005F1A26">
      <w:pPr>
        <w:pStyle w:val="Lijstalinea"/>
        <w:numPr>
          <w:ilvl w:val="0"/>
          <w:numId w:val="32"/>
        </w:numPr>
        <w:spacing w:line="288" w:lineRule="auto"/>
        <w:rPr>
          <w:rFonts w:cs="Tahoma"/>
          <w:sz w:val="22"/>
          <w:szCs w:val="22"/>
        </w:rPr>
      </w:pPr>
      <w:r w:rsidRPr="00145CC9">
        <w:rPr>
          <w:rFonts w:cs="Tahoma"/>
          <w:sz w:val="22"/>
          <w:szCs w:val="22"/>
        </w:rPr>
        <w:t xml:space="preserve">IBP </w:t>
      </w:r>
    </w:p>
    <w:p w:rsidR="005F1A26" w:rsidRPr="00145CC9" w:rsidRDefault="005F1A26" w:rsidP="005F1A26">
      <w:pPr>
        <w:pStyle w:val="Lijstalinea"/>
        <w:numPr>
          <w:ilvl w:val="0"/>
          <w:numId w:val="32"/>
        </w:numPr>
        <w:spacing w:line="288" w:lineRule="auto"/>
        <w:rPr>
          <w:rFonts w:cs="Tahoma"/>
          <w:sz w:val="22"/>
          <w:szCs w:val="22"/>
        </w:rPr>
      </w:pPr>
      <w:r w:rsidRPr="00145CC9">
        <w:rPr>
          <w:rFonts w:cs="Tahoma"/>
          <w:sz w:val="22"/>
          <w:szCs w:val="22"/>
        </w:rPr>
        <w:t>Herziening financiële verhoudingswet (stabiliteit/schommelingen gemeentefonds)</w:t>
      </w:r>
    </w:p>
    <w:p w:rsidR="005F1A26" w:rsidRPr="00145CC9" w:rsidRDefault="005F1A26" w:rsidP="005F1A26">
      <w:pPr>
        <w:pStyle w:val="Lijstalinea"/>
        <w:numPr>
          <w:ilvl w:val="0"/>
          <w:numId w:val="30"/>
        </w:numPr>
        <w:spacing w:line="288" w:lineRule="auto"/>
        <w:rPr>
          <w:rFonts w:cs="Tahoma"/>
          <w:sz w:val="22"/>
          <w:szCs w:val="22"/>
        </w:rPr>
      </w:pPr>
      <w:r w:rsidRPr="00145CC9">
        <w:rPr>
          <w:rFonts w:cs="Tahoma"/>
          <w:sz w:val="22"/>
          <w:szCs w:val="22"/>
        </w:rPr>
        <w:t>Kostenbeheersing sociaal domein (onderscheid centrumgemeenten- niet-centrumgemeenten)</w:t>
      </w:r>
    </w:p>
    <w:p w:rsidR="00CE4F0B" w:rsidRDefault="00CE4F0B" w:rsidP="00824A29">
      <w:pPr>
        <w:rPr>
          <w:sz w:val="22"/>
          <w:szCs w:val="22"/>
        </w:rPr>
      </w:pPr>
    </w:p>
    <w:p w:rsidR="00824A29" w:rsidRPr="00824A29" w:rsidRDefault="00824A29" w:rsidP="00824A29">
      <w:pPr>
        <w:rPr>
          <w:sz w:val="22"/>
          <w:szCs w:val="22"/>
        </w:rPr>
      </w:pPr>
    </w:p>
    <w:p w:rsidR="00824A29" w:rsidRDefault="00824A29" w:rsidP="001C3AB1">
      <w:pPr>
        <w:pStyle w:val="Lijstalinea"/>
        <w:numPr>
          <w:ilvl w:val="0"/>
          <w:numId w:val="23"/>
        </w:numPr>
        <w:rPr>
          <w:b/>
          <w:sz w:val="22"/>
          <w:szCs w:val="22"/>
        </w:rPr>
      </w:pPr>
      <w:r>
        <w:rPr>
          <w:b/>
          <w:sz w:val="22"/>
          <w:szCs w:val="22"/>
        </w:rPr>
        <w:t>Bijeenkomsten 2019</w:t>
      </w:r>
    </w:p>
    <w:p w:rsidR="00824A29" w:rsidRDefault="00824A29" w:rsidP="00824A29">
      <w:pPr>
        <w:pStyle w:val="Lijstalinea"/>
        <w:ind w:left="360"/>
        <w:rPr>
          <w:sz w:val="22"/>
          <w:szCs w:val="22"/>
        </w:rPr>
      </w:pPr>
      <w:r>
        <w:rPr>
          <w:sz w:val="22"/>
          <w:szCs w:val="22"/>
        </w:rPr>
        <w:t>Voorstel:  woensdag 10 april 219 en woensdag 9 oktober 2019.</w:t>
      </w:r>
    </w:p>
    <w:p w:rsidR="00824A29" w:rsidRDefault="00824A29" w:rsidP="00824A29">
      <w:pPr>
        <w:pStyle w:val="Lijstalinea"/>
        <w:ind w:left="360"/>
        <w:rPr>
          <w:sz w:val="22"/>
          <w:szCs w:val="22"/>
        </w:rPr>
      </w:pPr>
      <w:r>
        <w:rPr>
          <w:sz w:val="22"/>
          <w:szCs w:val="22"/>
        </w:rPr>
        <w:t>Afhankelijk van de behoefte kunnen er nog meer bijeenkomsten worden ingepland.</w:t>
      </w:r>
    </w:p>
    <w:p w:rsidR="00824A29" w:rsidRDefault="00824A29" w:rsidP="00824A29">
      <w:pPr>
        <w:rPr>
          <w:b/>
          <w:sz w:val="22"/>
          <w:szCs w:val="22"/>
        </w:rPr>
      </w:pPr>
    </w:p>
    <w:p w:rsidR="00824A29" w:rsidRPr="00824A29" w:rsidRDefault="00824A29" w:rsidP="00824A29">
      <w:pPr>
        <w:rPr>
          <w:b/>
          <w:sz w:val="22"/>
          <w:szCs w:val="22"/>
        </w:rPr>
      </w:pPr>
    </w:p>
    <w:p w:rsidR="009717FA" w:rsidRPr="006A4B37" w:rsidRDefault="009717FA" w:rsidP="001C3AB1">
      <w:pPr>
        <w:pStyle w:val="Lijstalinea"/>
        <w:numPr>
          <w:ilvl w:val="0"/>
          <w:numId w:val="23"/>
        </w:numPr>
        <w:rPr>
          <w:b/>
          <w:sz w:val="22"/>
          <w:szCs w:val="22"/>
        </w:rPr>
      </w:pPr>
      <w:r w:rsidRPr="006A4B37">
        <w:rPr>
          <w:b/>
          <w:sz w:val="22"/>
          <w:szCs w:val="22"/>
        </w:rPr>
        <w:t>Rondvraag en sluiting</w:t>
      </w:r>
    </w:p>
    <w:sectPr w:rsidR="009717FA" w:rsidRPr="006A4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55A5FD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7A4B8F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E1A50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594F72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938F7C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09CA2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573F91"/>
    <w:multiLevelType w:val="hybridMultilevel"/>
    <w:tmpl w:val="3814CEDE"/>
    <w:lvl w:ilvl="0" w:tplc="C0AAED74">
      <w:start w:val="2"/>
      <w:numFmt w:val="bullet"/>
      <w:lvlText w:val="-"/>
      <w:lvlJc w:val="left"/>
      <w:pPr>
        <w:ind w:left="1080" w:hanging="360"/>
      </w:pPr>
      <w:rPr>
        <w:rFonts w:ascii="Palatino Linotype" w:eastAsia="Times New Roman" w:hAnsi="Palatino Linotype"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0D7D354B"/>
    <w:multiLevelType w:val="hybridMultilevel"/>
    <w:tmpl w:val="0D141DC4"/>
    <w:lvl w:ilvl="0" w:tplc="BB787138">
      <w:start w:val="5"/>
      <w:numFmt w:val="bullet"/>
      <w:lvlText w:val="-"/>
      <w:lvlJc w:val="left"/>
      <w:pPr>
        <w:ind w:left="1080" w:hanging="360"/>
      </w:pPr>
      <w:rPr>
        <w:rFonts w:ascii="Palatino Linotype" w:eastAsia="Times New Roman" w:hAnsi="Palatino Linotype"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2700A7A"/>
    <w:multiLevelType w:val="hybridMultilevel"/>
    <w:tmpl w:val="52669A8A"/>
    <w:lvl w:ilvl="0" w:tplc="738C2CA6">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5A51EA7"/>
    <w:multiLevelType w:val="hybridMultilevel"/>
    <w:tmpl w:val="37703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7D766A"/>
    <w:multiLevelType w:val="multilevel"/>
    <w:tmpl w:val="B3C07620"/>
    <w:styleLink w:val="Numberedlist"/>
    <w:lvl w:ilvl="0">
      <w:start w:val="1"/>
      <w:numFmt w:val="decimal"/>
      <w:pStyle w:val="Lijstnummering"/>
      <w:isLgl/>
      <w:suff w:val="space"/>
      <w:lvlText w:val="%1."/>
      <w:lvlJc w:val="left"/>
      <w:pPr>
        <w:ind w:left="0" w:firstLine="0"/>
      </w:pPr>
      <w:rPr>
        <w:rFonts w:ascii="Palatino Linotype" w:hAnsi="Palatino Linotype"/>
        <w:spacing w:val="0"/>
        <w:w w:val="100"/>
        <w:position w:val="0"/>
        <w:sz w:val="17"/>
        <w:szCs w:val="17"/>
      </w:rPr>
    </w:lvl>
    <w:lvl w:ilvl="1">
      <w:start w:val="1"/>
      <w:numFmt w:val="decimal"/>
      <w:pStyle w:val="Lijstnummering2"/>
      <w:suff w:val="space"/>
      <w:lvlText w:val="%1.%2."/>
      <w:lvlJc w:val="left"/>
      <w:pPr>
        <w:ind w:left="680" w:firstLine="0"/>
      </w:pPr>
      <w:rPr>
        <w:rFonts w:ascii="Palatino Linotype" w:hAnsi="Palatino Linotype"/>
        <w:sz w:val="17"/>
        <w:szCs w:val="17"/>
      </w:rPr>
    </w:lvl>
    <w:lvl w:ilvl="2">
      <w:start w:val="1"/>
      <w:numFmt w:val="decimal"/>
      <w:pStyle w:val="Lijstnummering3"/>
      <w:suff w:val="space"/>
      <w:lvlText w:val="%1.%2.%3."/>
      <w:lvlJc w:val="left"/>
      <w:pPr>
        <w:ind w:left="1361" w:firstLine="0"/>
      </w:pPr>
      <w:rPr>
        <w:rFonts w:ascii="Palatino Linotype" w:hAnsi="Palatino Linotype"/>
        <w:sz w:val="17"/>
        <w:szCs w:val="17"/>
      </w:rPr>
    </w:lvl>
    <w:lvl w:ilvl="3">
      <w:start w:val="1"/>
      <w:numFmt w:val="decimal"/>
      <w:lvlText w:val="%1.%2.%3.%4."/>
      <w:lvlJc w:val="left"/>
      <w:pPr>
        <w:tabs>
          <w:tab w:val="num" w:pos="1361"/>
        </w:tabs>
        <w:ind w:left="1361"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33A14AD"/>
    <w:multiLevelType w:val="multilevel"/>
    <w:tmpl w:val="50E4B122"/>
    <w:lvl w:ilvl="0">
      <w:start w:val="1"/>
      <w:numFmt w:val="bullet"/>
      <w:pStyle w:val="Lijstopsomteken"/>
      <w:suff w:val="space"/>
      <w:lvlText w:val=""/>
      <w:lvlJc w:val="left"/>
      <w:pPr>
        <w:ind w:left="0" w:firstLine="0"/>
      </w:pPr>
      <w:rPr>
        <w:rFonts w:ascii="Palatino Linotype" w:hAnsi="Palatino Linotype"/>
        <w:color w:val="auto"/>
        <w:sz w:val="17"/>
        <w:szCs w:val="17"/>
      </w:rPr>
    </w:lvl>
    <w:lvl w:ilvl="1">
      <w:start w:val="1"/>
      <w:numFmt w:val="bullet"/>
      <w:pStyle w:val="Lijstopsomteken2"/>
      <w:suff w:val="space"/>
      <w:lvlText w:val=""/>
      <w:lvlJc w:val="left"/>
      <w:pPr>
        <w:ind w:left="680" w:firstLine="0"/>
      </w:pPr>
      <w:rPr>
        <w:rFonts w:ascii="Palatino Linotype" w:hAnsi="Palatino Linotype"/>
        <w:color w:val="auto"/>
        <w:sz w:val="17"/>
        <w:szCs w:val="17"/>
      </w:rPr>
    </w:lvl>
    <w:lvl w:ilvl="2">
      <w:start w:val="1"/>
      <w:numFmt w:val="bullet"/>
      <w:lvlRestart w:val="0"/>
      <w:pStyle w:val="Lijstopsomteken3"/>
      <w:suff w:val="space"/>
      <w:lvlText w:val=""/>
      <w:lvlJc w:val="left"/>
      <w:pPr>
        <w:ind w:left="1361" w:firstLine="0"/>
      </w:pPr>
      <w:rPr>
        <w:rFonts w:ascii="Palatino Linotype" w:hAnsi="Palatino Linotype"/>
        <w:sz w:val="17"/>
        <w:szCs w:val="17"/>
      </w:rPr>
    </w:lvl>
    <w:lvl w:ilvl="3">
      <w:start w:val="1"/>
      <w:numFmt w:val="bullet"/>
      <w:lvlText w:val=""/>
      <w:lvlJc w:val="left"/>
      <w:pPr>
        <w:tabs>
          <w:tab w:val="num" w:pos="4561"/>
        </w:tabs>
        <w:ind w:left="4561" w:hanging="360"/>
      </w:pPr>
      <w:rPr>
        <w:rFonts w:ascii="Symbol" w:hAnsi="Symbol" w:hint="default"/>
      </w:rPr>
    </w:lvl>
    <w:lvl w:ilvl="4">
      <w:start w:val="1"/>
      <w:numFmt w:val="bullet"/>
      <w:lvlText w:val=""/>
      <w:lvlJc w:val="left"/>
      <w:pPr>
        <w:tabs>
          <w:tab w:val="num" w:pos="4921"/>
        </w:tabs>
        <w:ind w:left="4921" w:hanging="360"/>
      </w:pPr>
      <w:rPr>
        <w:rFonts w:ascii="Symbol" w:hAnsi="Symbol" w:hint="default"/>
      </w:rPr>
    </w:lvl>
    <w:lvl w:ilvl="5">
      <w:start w:val="1"/>
      <w:numFmt w:val="bullet"/>
      <w:lvlText w:val=""/>
      <w:lvlJc w:val="left"/>
      <w:pPr>
        <w:tabs>
          <w:tab w:val="num" w:pos="5281"/>
        </w:tabs>
        <w:ind w:left="5281" w:hanging="360"/>
      </w:pPr>
      <w:rPr>
        <w:rFonts w:ascii="Wingdings" w:hAnsi="Wingdings" w:hint="default"/>
      </w:rPr>
    </w:lvl>
    <w:lvl w:ilvl="6">
      <w:start w:val="1"/>
      <w:numFmt w:val="bullet"/>
      <w:lvlText w:val=""/>
      <w:lvlJc w:val="left"/>
      <w:pPr>
        <w:tabs>
          <w:tab w:val="num" w:pos="5641"/>
        </w:tabs>
        <w:ind w:left="5641" w:hanging="360"/>
      </w:pPr>
      <w:rPr>
        <w:rFonts w:ascii="Wingdings" w:hAnsi="Wingdings" w:hint="default"/>
      </w:rPr>
    </w:lvl>
    <w:lvl w:ilvl="7">
      <w:start w:val="1"/>
      <w:numFmt w:val="bullet"/>
      <w:lvlText w:val=""/>
      <w:lvlJc w:val="left"/>
      <w:pPr>
        <w:tabs>
          <w:tab w:val="num" w:pos="6001"/>
        </w:tabs>
        <w:ind w:left="6001" w:hanging="360"/>
      </w:pPr>
      <w:rPr>
        <w:rFonts w:ascii="Symbol" w:hAnsi="Symbol" w:hint="default"/>
      </w:rPr>
    </w:lvl>
    <w:lvl w:ilvl="8">
      <w:start w:val="1"/>
      <w:numFmt w:val="bullet"/>
      <w:lvlText w:val=""/>
      <w:lvlJc w:val="left"/>
      <w:pPr>
        <w:tabs>
          <w:tab w:val="num" w:pos="6361"/>
        </w:tabs>
        <w:ind w:left="6361" w:hanging="360"/>
      </w:pPr>
      <w:rPr>
        <w:rFonts w:ascii="Symbol" w:hAnsi="Symbol" w:hint="default"/>
      </w:rPr>
    </w:lvl>
  </w:abstractNum>
  <w:abstractNum w:abstractNumId="12" w15:restartNumberingAfterBreak="0">
    <w:nsid w:val="2C7F3474"/>
    <w:multiLevelType w:val="hybridMultilevel"/>
    <w:tmpl w:val="C10092AA"/>
    <w:lvl w:ilvl="0" w:tplc="7D8012E2">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5371EF"/>
    <w:multiLevelType w:val="hybridMultilevel"/>
    <w:tmpl w:val="44FABAD2"/>
    <w:lvl w:ilvl="0" w:tplc="0413000F">
      <w:start w:val="1"/>
      <w:numFmt w:val="decimal"/>
      <w:lvlText w:val="%1."/>
      <w:lvlJc w:val="left"/>
      <w:pPr>
        <w:tabs>
          <w:tab w:val="num" w:pos="502"/>
        </w:tabs>
        <w:ind w:left="502" w:hanging="360"/>
      </w:pPr>
      <w:rPr>
        <w:rFonts w:hint="default"/>
      </w:rPr>
    </w:lvl>
    <w:lvl w:ilvl="1" w:tplc="04130019">
      <w:start w:val="1"/>
      <w:numFmt w:val="lowerLetter"/>
      <w:lvlText w:val="%2."/>
      <w:lvlJc w:val="left"/>
      <w:pPr>
        <w:tabs>
          <w:tab w:val="num" w:pos="1440"/>
        </w:tabs>
        <w:ind w:left="1440" w:hanging="360"/>
      </w:pPr>
    </w:lvl>
    <w:lvl w:ilvl="2" w:tplc="CF406D94">
      <w:numFmt w:val="bullet"/>
      <w:lvlText w:val="-"/>
      <w:lvlJc w:val="left"/>
      <w:pPr>
        <w:tabs>
          <w:tab w:val="num" w:pos="2340"/>
        </w:tabs>
        <w:ind w:left="2340" w:hanging="360"/>
      </w:pPr>
      <w:rPr>
        <w:rFonts w:ascii="Tahoma" w:eastAsia="Times New Roman" w:hAnsi="Tahoma" w:cs="Tahoma"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61F26B7"/>
    <w:multiLevelType w:val="hybridMultilevel"/>
    <w:tmpl w:val="E6641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02240D6"/>
    <w:multiLevelType w:val="multilevel"/>
    <w:tmpl w:val="80EE99D2"/>
    <w:lvl w:ilvl="0">
      <w:start w:val="1"/>
      <w:numFmt w:val="decimal"/>
      <w:pStyle w:val="Kop1"/>
      <w:lvlText w:val="%1"/>
      <w:lvlJc w:val="left"/>
      <w:pPr>
        <w:tabs>
          <w:tab w:val="num" w:pos="680"/>
        </w:tabs>
        <w:ind w:left="680" w:hanging="680"/>
      </w:pPr>
      <w:rPr>
        <w:rFonts w:ascii="Palatino Linotype" w:hAnsi="Palatino Linotype" w:hint="default"/>
        <w:b w:val="0"/>
        <w:i w:val="0"/>
        <w:sz w:val="48"/>
        <w:szCs w:val="48"/>
      </w:rPr>
    </w:lvl>
    <w:lvl w:ilvl="1">
      <w:start w:val="1"/>
      <w:numFmt w:val="decimal"/>
      <w:pStyle w:val="Kop2"/>
      <w:lvlText w:val="%1.%2"/>
      <w:lvlJc w:val="left"/>
      <w:pPr>
        <w:tabs>
          <w:tab w:val="num" w:pos="680"/>
        </w:tabs>
        <w:ind w:left="680" w:hanging="680"/>
      </w:pPr>
      <w:rPr>
        <w:rFonts w:ascii="Palatino Linotype" w:hAnsi="Palatino Linotype" w:hint="default"/>
        <w:b/>
        <w:i w:val="0"/>
        <w:sz w:val="21"/>
        <w:szCs w:val="21"/>
      </w:rPr>
    </w:lvl>
    <w:lvl w:ilvl="2">
      <w:start w:val="1"/>
      <w:numFmt w:val="decimal"/>
      <w:pStyle w:val="Kop3"/>
      <w:lvlText w:val="%1.%2.%3"/>
      <w:lvlJc w:val="left"/>
      <w:pPr>
        <w:tabs>
          <w:tab w:val="num" w:pos="680"/>
        </w:tabs>
        <w:ind w:left="680" w:hanging="680"/>
      </w:pPr>
      <w:rPr>
        <w:rFonts w:ascii="Palatino Linotype" w:hAnsi="Palatino Linotype" w:hint="default"/>
        <w:b/>
        <w:i w:val="0"/>
        <w:sz w:val="21"/>
        <w:szCs w:val="21"/>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6" w15:restartNumberingAfterBreak="0">
    <w:nsid w:val="64E60DD0"/>
    <w:multiLevelType w:val="hybridMultilevel"/>
    <w:tmpl w:val="2D267BCA"/>
    <w:lvl w:ilvl="0" w:tplc="0408E4C0">
      <w:numFmt w:val="bullet"/>
      <w:lvlText w:val="-"/>
      <w:lvlJc w:val="left"/>
      <w:pPr>
        <w:ind w:left="862" w:hanging="360"/>
      </w:pPr>
      <w:rPr>
        <w:rFonts w:ascii="Palatino Linotype" w:eastAsia="Times New Roman" w:hAnsi="Palatino Linotype"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7" w15:restartNumberingAfterBreak="0">
    <w:nsid w:val="66616EF6"/>
    <w:multiLevelType w:val="hybridMultilevel"/>
    <w:tmpl w:val="16F64F68"/>
    <w:lvl w:ilvl="0" w:tplc="F7A29D88">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766CA1"/>
    <w:multiLevelType w:val="multilevel"/>
    <w:tmpl w:val="D3A85AEC"/>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C55B5B"/>
    <w:multiLevelType w:val="hybridMultilevel"/>
    <w:tmpl w:val="B7FCC7C4"/>
    <w:lvl w:ilvl="0" w:tplc="4E600EE4">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6DF08C8"/>
    <w:multiLevelType w:val="hybridMultilevel"/>
    <w:tmpl w:val="C2D26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5"/>
  </w:num>
  <w:num w:numId="10">
    <w:abstractNumId w:val="11"/>
  </w:num>
  <w:num w:numId="11">
    <w:abstractNumId w:val="3"/>
  </w:num>
  <w:num w:numId="12">
    <w:abstractNumId w:val="11"/>
  </w:num>
  <w:num w:numId="13">
    <w:abstractNumId w:val="2"/>
  </w:num>
  <w:num w:numId="14">
    <w:abstractNumId w:val="11"/>
  </w:num>
  <w:num w:numId="15">
    <w:abstractNumId w:val="4"/>
  </w:num>
  <w:num w:numId="16">
    <w:abstractNumId w:val="10"/>
  </w:num>
  <w:num w:numId="17">
    <w:abstractNumId w:val="1"/>
  </w:num>
  <w:num w:numId="18">
    <w:abstractNumId w:val="10"/>
  </w:num>
  <w:num w:numId="19">
    <w:abstractNumId w:val="0"/>
  </w:num>
  <w:num w:numId="20">
    <w:abstractNumId w:val="10"/>
  </w:num>
  <w:num w:numId="21">
    <w:abstractNumId w:val="10"/>
  </w:num>
  <w:num w:numId="22">
    <w:abstractNumId w:val="9"/>
  </w:num>
  <w:num w:numId="23">
    <w:abstractNumId w:val="18"/>
  </w:num>
  <w:num w:numId="24">
    <w:abstractNumId w:val="6"/>
  </w:num>
  <w:num w:numId="25">
    <w:abstractNumId w:val="17"/>
  </w:num>
  <w:num w:numId="26">
    <w:abstractNumId w:val="12"/>
  </w:num>
  <w:num w:numId="27">
    <w:abstractNumId w:val="20"/>
  </w:num>
  <w:num w:numId="28">
    <w:abstractNumId w:val="16"/>
  </w:num>
  <w:num w:numId="29">
    <w:abstractNumId w:val="19"/>
  </w:num>
  <w:num w:numId="30">
    <w:abstractNumId w:val="8"/>
  </w:num>
  <w:num w:numId="31">
    <w:abstractNumId w:val="13"/>
  </w:num>
  <w:num w:numId="32">
    <w:abstractNumId w:val="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D5"/>
    <w:rsid w:val="000043D3"/>
    <w:rsid w:val="000448EF"/>
    <w:rsid w:val="00060457"/>
    <w:rsid w:val="000702B9"/>
    <w:rsid w:val="000B0E45"/>
    <w:rsid w:val="000B3E0C"/>
    <w:rsid w:val="000B4D22"/>
    <w:rsid w:val="000F60F6"/>
    <w:rsid w:val="001047F9"/>
    <w:rsid w:val="001061F6"/>
    <w:rsid w:val="0013002F"/>
    <w:rsid w:val="00145CC9"/>
    <w:rsid w:val="001835D7"/>
    <w:rsid w:val="001C3AB1"/>
    <w:rsid w:val="001D5559"/>
    <w:rsid w:val="001F2C59"/>
    <w:rsid w:val="002225FB"/>
    <w:rsid w:val="00244101"/>
    <w:rsid w:val="00261E6C"/>
    <w:rsid w:val="00265798"/>
    <w:rsid w:val="00287F21"/>
    <w:rsid w:val="002A3E9F"/>
    <w:rsid w:val="002C3CC5"/>
    <w:rsid w:val="002D02CA"/>
    <w:rsid w:val="002D1A76"/>
    <w:rsid w:val="002E3735"/>
    <w:rsid w:val="002E3E88"/>
    <w:rsid w:val="002E68EC"/>
    <w:rsid w:val="0030770F"/>
    <w:rsid w:val="0034342E"/>
    <w:rsid w:val="00350B8A"/>
    <w:rsid w:val="00375173"/>
    <w:rsid w:val="00395A28"/>
    <w:rsid w:val="003B2248"/>
    <w:rsid w:val="003B4B0B"/>
    <w:rsid w:val="003B6433"/>
    <w:rsid w:val="003B7CD9"/>
    <w:rsid w:val="003F7599"/>
    <w:rsid w:val="00413790"/>
    <w:rsid w:val="00424D8D"/>
    <w:rsid w:val="004B1C3B"/>
    <w:rsid w:val="004D43C8"/>
    <w:rsid w:val="004F3D95"/>
    <w:rsid w:val="005036B1"/>
    <w:rsid w:val="00553D73"/>
    <w:rsid w:val="00563A6B"/>
    <w:rsid w:val="00584B0F"/>
    <w:rsid w:val="005A385D"/>
    <w:rsid w:val="005F0BA3"/>
    <w:rsid w:val="005F1A26"/>
    <w:rsid w:val="006079BC"/>
    <w:rsid w:val="00623B6D"/>
    <w:rsid w:val="0063242A"/>
    <w:rsid w:val="00635D8E"/>
    <w:rsid w:val="00637FFE"/>
    <w:rsid w:val="006606D3"/>
    <w:rsid w:val="006A0DB6"/>
    <w:rsid w:val="006A4588"/>
    <w:rsid w:val="006A4B37"/>
    <w:rsid w:val="006A5EFF"/>
    <w:rsid w:val="006A74F3"/>
    <w:rsid w:val="006B0C93"/>
    <w:rsid w:val="006F383A"/>
    <w:rsid w:val="006F4967"/>
    <w:rsid w:val="00700DE4"/>
    <w:rsid w:val="0073110E"/>
    <w:rsid w:val="00745AD5"/>
    <w:rsid w:val="00753CD4"/>
    <w:rsid w:val="007C472C"/>
    <w:rsid w:val="007C6ABA"/>
    <w:rsid w:val="007D6879"/>
    <w:rsid w:val="007E0EA8"/>
    <w:rsid w:val="008028BB"/>
    <w:rsid w:val="00824A29"/>
    <w:rsid w:val="00830203"/>
    <w:rsid w:val="00831E1F"/>
    <w:rsid w:val="008617E2"/>
    <w:rsid w:val="00866949"/>
    <w:rsid w:val="008714E6"/>
    <w:rsid w:val="008A0642"/>
    <w:rsid w:val="008E7733"/>
    <w:rsid w:val="00902ED3"/>
    <w:rsid w:val="00904BFA"/>
    <w:rsid w:val="00932281"/>
    <w:rsid w:val="00957896"/>
    <w:rsid w:val="00962A1E"/>
    <w:rsid w:val="00965A49"/>
    <w:rsid w:val="009668C0"/>
    <w:rsid w:val="009717FA"/>
    <w:rsid w:val="00975779"/>
    <w:rsid w:val="009D4043"/>
    <w:rsid w:val="00A33DF4"/>
    <w:rsid w:val="00A63FFE"/>
    <w:rsid w:val="00A80537"/>
    <w:rsid w:val="00A828D3"/>
    <w:rsid w:val="00A83277"/>
    <w:rsid w:val="00A8713E"/>
    <w:rsid w:val="00AA3B87"/>
    <w:rsid w:val="00AB67B3"/>
    <w:rsid w:val="00AC121D"/>
    <w:rsid w:val="00AC3808"/>
    <w:rsid w:val="00AD41A9"/>
    <w:rsid w:val="00AD567C"/>
    <w:rsid w:val="00AE646C"/>
    <w:rsid w:val="00AF333A"/>
    <w:rsid w:val="00B059B7"/>
    <w:rsid w:val="00B23E6F"/>
    <w:rsid w:val="00B31228"/>
    <w:rsid w:val="00B334C5"/>
    <w:rsid w:val="00B45468"/>
    <w:rsid w:val="00B93C54"/>
    <w:rsid w:val="00BE38EB"/>
    <w:rsid w:val="00BF4616"/>
    <w:rsid w:val="00C0204C"/>
    <w:rsid w:val="00C33BA7"/>
    <w:rsid w:val="00C50C4D"/>
    <w:rsid w:val="00C73C4C"/>
    <w:rsid w:val="00C83F44"/>
    <w:rsid w:val="00CA65E2"/>
    <w:rsid w:val="00CA6865"/>
    <w:rsid w:val="00CA6C83"/>
    <w:rsid w:val="00CB036B"/>
    <w:rsid w:val="00CE4F0B"/>
    <w:rsid w:val="00CE5078"/>
    <w:rsid w:val="00CF2AA3"/>
    <w:rsid w:val="00CF65E6"/>
    <w:rsid w:val="00D0722A"/>
    <w:rsid w:val="00D13A68"/>
    <w:rsid w:val="00D53253"/>
    <w:rsid w:val="00D60B28"/>
    <w:rsid w:val="00D65824"/>
    <w:rsid w:val="00DA225E"/>
    <w:rsid w:val="00DB0EBE"/>
    <w:rsid w:val="00DE09CD"/>
    <w:rsid w:val="00DE63FB"/>
    <w:rsid w:val="00DF2771"/>
    <w:rsid w:val="00E06847"/>
    <w:rsid w:val="00E23FB1"/>
    <w:rsid w:val="00E24A9F"/>
    <w:rsid w:val="00E443CF"/>
    <w:rsid w:val="00ED438F"/>
    <w:rsid w:val="00EE3A67"/>
    <w:rsid w:val="00F10EDE"/>
    <w:rsid w:val="00F12127"/>
    <w:rsid w:val="00F47500"/>
    <w:rsid w:val="00F65754"/>
    <w:rsid w:val="00FD1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23C3D1-2F56-4001-9775-9718B7A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28D3"/>
    <w:rPr>
      <w:rFonts w:ascii="Palatino Linotype" w:hAnsi="Palatino Linotype"/>
      <w:szCs w:val="21"/>
    </w:rPr>
  </w:style>
  <w:style w:type="paragraph" w:styleId="Kop1">
    <w:name w:val="heading 1"/>
    <w:basedOn w:val="Standaard"/>
    <w:next w:val="Standaard"/>
    <w:autoRedefine/>
    <w:qFormat/>
    <w:rsid w:val="007D6879"/>
    <w:pPr>
      <w:keepNext/>
      <w:numPr>
        <w:numId w:val="8"/>
      </w:numPr>
      <w:spacing w:before="240" w:after="60"/>
      <w:outlineLvl w:val="0"/>
    </w:pPr>
    <w:rPr>
      <w:b/>
      <w:bCs/>
      <w:sz w:val="24"/>
      <w:szCs w:val="24"/>
    </w:rPr>
  </w:style>
  <w:style w:type="paragraph" w:styleId="Kop2">
    <w:name w:val="heading 2"/>
    <w:basedOn w:val="Standaard"/>
    <w:next w:val="Standaard"/>
    <w:qFormat/>
    <w:rsid w:val="003F7599"/>
    <w:pPr>
      <w:keepNext/>
      <w:numPr>
        <w:ilvl w:val="1"/>
        <w:numId w:val="8"/>
      </w:numPr>
      <w:spacing w:before="100" w:beforeAutospacing="1" w:after="280"/>
      <w:outlineLvl w:val="1"/>
    </w:pPr>
    <w:rPr>
      <w:rFonts w:cs="Arial"/>
      <w:b/>
      <w:bCs/>
      <w:iCs/>
    </w:rPr>
  </w:style>
  <w:style w:type="paragraph" w:styleId="Kop3">
    <w:name w:val="heading 3"/>
    <w:basedOn w:val="Standaard"/>
    <w:next w:val="Standaard"/>
    <w:qFormat/>
    <w:rsid w:val="003F7599"/>
    <w:pPr>
      <w:keepNext/>
      <w:numPr>
        <w:ilvl w:val="2"/>
        <w:numId w:val="8"/>
      </w:numPr>
      <w:outlineLvl w:val="2"/>
    </w:pPr>
    <w:rPr>
      <w:rFonts w:cs="Arial"/>
      <w:b/>
      <w:bCs/>
    </w:rPr>
  </w:style>
  <w:style w:type="paragraph" w:styleId="Kop4">
    <w:name w:val="heading 4"/>
    <w:basedOn w:val="Standaard"/>
    <w:next w:val="Standaard"/>
    <w:qFormat/>
    <w:rsid w:val="003F7599"/>
    <w:pPr>
      <w:keepNext/>
      <w:numPr>
        <w:ilvl w:val="3"/>
        <w:numId w:val="8"/>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3F7599"/>
    <w:pPr>
      <w:numPr>
        <w:ilvl w:val="4"/>
        <w:numId w:val="8"/>
      </w:numPr>
      <w:spacing w:before="240" w:after="60"/>
      <w:outlineLvl w:val="4"/>
    </w:pPr>
    <w:rPr>
      <w:b/>
      <w:bCs/>
      <w:i/>
      <w:iCs/>
      <w:sz w:val="26"/>
      <w:szCs w:val="26"/>
    </w:rPr>
  </w:style>
  <w:style w:type="paragraph" w:styleId="Kop6">
    <w:name w:val="heading 6"/>
    <w:basedOn w:val="Standaard"/>
    <w:next w:val="Standaard"/>
    <w:qFormat/>
    <w:rsid w:val="003F7599"/>
    <w:pPr>
      <w:numPr>
        <w:ilvl w:val="5"/>
        <w:numId w:val="8"/>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3F7599"/>
    <w:pPr>
      <w:numPr>
        <w:ilvl w:val="6"/>
        <w:numId w:val="8"/>
      </w:numPr>
      <w:spacing w:before="240" w:after="60"/>
      <w:outlineLvl w:val="6"/>
    </w:pPr>
    <w:rPr>
      <w:rFonts w:ascii="Times New Roman" w:hAnsi="Times New Roman"/>
      <w:sz w:val="24"/>
      <w:szCs w:val="24"/>
    </w:rPr>
  </w:style>
  <w:style w:type="paragraph" w:styleId="Kop8">
    <w:name w:val="heading 8"/>
    <w:basedOn w:val="Standaard"/>
    <w:next w:val="Standaard"/>
    <w:qFormat/>
    <w:rsid w:val="003F7599"/>
    <w:pPr>
      <w:numPr>
        <w:ilvl w:val="7"/>
        <w:numId w:val="8"/>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3F7599"/>
    <w:pPr>
      <w:numPr>
        <w:ilvl w:val="8"/>
        <w:numId w:val="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F7599"/>
    <w:pPr>
      <w:tabs>
        <w:tab w:val="center" w:pos="4536"/>
        <w:tab w:val="right" w:pos="9072"/>
      </w:tabs>
    </w:pPr>
  </w:style>
  <w:style w:type="paragraph" w:styleId="Plattetekst">
    <w:name w:val="Body Text"/>
    <w:basedOn w:val="Standaard"/>
    <w:semiHidden/>
    <w:rsid w:val="003F7599"/>
  </w:style>
  <w:style w:type="paragraph" w:styleId="Lijstopsomteken">
    <w:name w:val="List Bullet"/>
    <w:basedOn w:val="Plattetekst"/>
    <w:rsid w:val="003F7599"/>
    <w:pPr>
      <w:numPr>
        <w:numId w:val="14"/>
      </w:numPr>
      <w:tabs>
        <w:tab w:val="num" w:pos="643"/>
      </w:tabs>
      <w:ind w:left="643" w:hanging="360"/>
    </w:pPr>
  </w:style>
  <w:style w:type="paragraph" w:styleId="Lijstopsomteken2">
    <w:name w:val="List Bullet 2"/>
    <w:basedOn w:val="Plattetekst"/>
    <w:rsid w:val="003F7599"/>
    <w:pPr>
      <w:numPr>
        <w:ilvl w:val="1"/>
        <w:numId w:val="14"/>
      </w:numPr>
      <w:tabs>
        <w:tab w:val="num" w:pos="643"/>
      </w:tabs>
      <w:ind w:left="643" w:hanging="360"/>
    </w:pPr>
  </w:style>
  <w:style w:type="paragraph" w:styleId="Lijstopsomteken3">
    <w:name w:val="List Bullet 3"/>
    <w:basedOn w:val="Plattetekst"/>
    <w:rsid w:val="003F7599"/>
    <w:pPr>
      <w:numPr>
        <w:ilvl w:val="2"/>
        <w:numId w:val="14"/>
      </w:numPr>
      <w:tabs>
        <w:tab w:val="num" w:pos="643"/>
      </w:tabs>
      <w:ind w:left="643" w:hanging="360"/>
    </w:pPr>
  </w:style>
  <w:style w:type="paragraph" w:styleId="Lijstnummering">
    <w:name w:val="List Number"/>
    <w:basedOn w:val="Plattetekst"/>
    <w:rsid w:val="003F7599"/>
    <w:pPr>
      <w:numPr>
        <w:numId w:val="21"/>
      </w:numPr>
    </w:pPr>
  </w:style>
  <w:style w:type="paragraph" w:styleId="Lijstnummering2">
    <w:name w:val="List Number 2"/>
    <w:basedOn w:val="Plattetekst"/>
    <w:rsid w:val="003F7599"/>
    <w:pPr>
      <w:numPr>
        <w:ilvl w:val="1"/>
        <w:numId w:val="21"/>
      </w:numPr>
    </w:pPr>
  </w:style>
  <w:style w:type="paragraph" w:styleId="Lijstnummering3">
    <w:name w:val="List Number 3"/>
    <w:basedOn w:val="Plattetekst"/>
    <w:rsid w:val="003F7599"/>
    <w:pPr>
      <w:numPr>
        <w:ilvl w:val="2"/>
        <w:numId w:val="21"/>
      </w:numPr>
    </w:pPr>
  </w:style>
  <w:style w:type="numbering" w:customStyle="1" w:styleId="Numberedlist">
    <w:name w:val="Numbered list"/>
    <w:basedOn w:val="Geenlijst"/>
    <w:semiHidden/>
    <w:rsid w:val="003F7599"/>
    <w:pPr>
      <w:numPr>
        <w:numId w:val="16"/>
      </w:numPr>
    </w:pPr>
  </w:style>
  <w:style w:type="paragraph" w:customStyle="1" w:styleId="Rapportgegevens">
    <w:name w:val="Rapport gegevens"/>
    <w:basedOn w:val="Plattetekst"/>
    <w:next w:val="Standaard"/>
    <w:semiHidden/>
    <w:rsid w:val="003F7599"/>
    <w:rPr>
      <w:color w:val="292929"/>
      <w:spacing w:val="6"/>
      <w:w w:val="95"/>
      <w:sz w:val="14"/>
      <w:szCs w:val="14"/>
    </w:rPr>
  </w:style>
  <w:style w:type="paragraph" w:customStyle="1" w:styleId="Subtitelrapport">
    <w:name w:val="Subtitel rapport"/>
    <w:basedOn w:val="Standaard"/>
    <w:rsid w:val="003F7599"/>
    <w:pPr>
      <w:spacing w:line="560" w:lineRule="exact"/>
    </w:pPr>
    <w:rPr>
      <w:rFonts w:ascii="Verdana" w:hAnsi="Verdana" w:cs="Arial"/>
      <w:spacing w:val="6"/>
      <w:w w:val="95"/>
      <w:sz w:val="44"/>
      <w:szCs w:val="44"/>
    </w:rPr>
  </w:style>
  <w:style w:type="table" w:customStyle="1" w:styleId="Tabellen">
    <w:name w:val="Tabellen"/>
    <w:basedOn w:val="Standaardtabel"/>
    <w:rsid w:val="003F7599"/>
    <w:rPr>
      <w:rFonts w:ascii="Palatino Linotype" w:hAnsi="Palatino Linotype"/>
      <w:sz w:val="21"/>
      <w:szCs w:val="21"/>
    </w:rPr>
    <w:tblPr>
      <w:tblBorders>
        <w:bottom w:val="single" w:sz="12" w:space="0" w:color="auto"/>
      </w:tblBorders>
      <w:tblCellMar>
        <w:left w:w="0" w:type="dxa"/>
        <w:right w:w="0"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itelrapport">
    <w:name w:val="Titel rapport"/>
    <w:basedOn w:val="Standaard"/>
    <w:semiHidden/>
    <w:rsid w:val="003F7599"/>
    <w:pPr>
      <w:spacing w:before="240" w:after="60" w:line="240" w:lineRule="exact"/>
    </w:pPr>
    <w:rPr>
      <w:rFonts w:ascii="Verdana" w:hAnsi="Verdana" w:cs="Arial"/>
      <w:bCs/>
      <w:spacing w:val="6"/>
      <w:w w:val="95"/>
      <w:sz w:val="56"/>
      <w:szCs w:val="56"/>
    </w:rPr>
  </w:style>
  <w:style w:type="character" w:styleId="Voetnootmarkering">
    <w:name w:val="footnote reference"/>
    <w:basedOn w:val="Standaardalinea-lettertype"/>
    <w:semiHidden/>
    <w:rsid w:val="003F7599"/>
    <w:rPr>
      <w:vertAlign w:val="superscript"/>
    </w:rPr>
  </w:style>
  <w:style w:type="paragraph" w:styleId="Voetnoottekst">
    <w:name w:val="footnote text"/>
    <w:basedOn w:val="Standaard"/>
    <w:semiHidden/>
    <w:rsid w:val="003F7599"/>
    <w:rPr>
      <w:szCs w:val="20"/>
    </w:rPr>
  </w:style>
  <w:style w:type="paragraph" w:styleId="Ballontekst">
    <w:name w:val="Balloon Text"/>
    <w:basedOn w:val="Standaard"/>
    <w:link w:val="BallontekstChar"/>
    <w:rsid w:val="00745AD5"/>
    <w:rPr>
      <w:rFonts w:ascii="Tahoma" w:hAnsi="Tahoma" w:cs="Tahoma"/>
      <w:sz w:val="16"/>
      <w:szCs w:val="16"/>
    </w:rPr>
  </w:style>
  <w:style w:type="character" w:customStyle="1" w:styleId="BallontekstChar">
    <w:name w:val="Ballontekst Char"/>
    <w:basedOn w:val="Standaardalinea-lettertype"/>
    <w:link w:val="Ballontekst"/>
    <w:rsid w:val="00745AD5"/>
    <w:rPr>
      <w:rFonts w:ascii="Tahoma" w:hAnsi="Tahoma" w:cs="Tahoma"/>
      <w:sz w:val="16"/>
      <w:szCs w:val="16"/>
    </w:rPr>
  </w:style>
  <w:style w:type="paragraph" w:styleId="Lijstalinea">
    <w:name w:val="List Paragraph"/>
    <w:basedOn w:val="Standaard"/>
    <w:uiPriority w:val="34"/>
    <w:qFormat/>
    <w:rsid w:val="0074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66F7DE34.dotm</Template>
  <TotalTime>2</TotalTime>
  <Pages>2</Pages>
  <Words>531</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Gemeente Utrechtse Heuvelrug</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Beumer</dc:creator>
  <cp:lastModifiedBy>Edwin Branderhorst (Gemeente Oosterhout)</cp:lastModifiedBy>
  <cp:revision>3</cp:revision>
  <cp:lastPrinted>2018-10-15T13:23:00Z</cp:lastPrinted>
  <dcterms:created xsi:type="dcterms:W3CDTF">2018-11-27T07:41:00Z</dcterms:created>
  <dcterms:modified xsi:type="dcterms:W3CDTF">2018-11-27T07:42:00Z</dcterms:modified>
</cp:coreProperties>
</file>