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7" w:rsidRDefault="00745AD5" w:rsidP="006A4B37">
      <w:pPr>
        <w:jc w:val="center"/>
        <w:rPr>
          <w:sz w:val="21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1" name="Afbeelding 1" descr="platform beeldmerk brief hoofd zonder b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beeldmerk brief hoofd zonder ba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6"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D5" w:rsidRDefault="00745AD5" w:rsidP="003B4B0B">
      <w:pPr>
        <w:rPr>
          <w:sz w:val="21"/>
        </w:rPr>
      </w:pPr>
    </w:p>
    <w:p w:rsidR="00745AD5" w:rsidRDefault="00745AD5" w:rsidP="00745AD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Agenda bijeenkomst pijler Financiën PMG </w:t>
      </w:r>
      <w:r>
        <w:rPr>
          <w:b/>
          <w:sz w:val="28"/>
          <w:szCs w:val="28"/>
        </w:rPr>
        <w:t xml:space="preserve">d.d. </w:t>
      </w:r>
      <w:r w:rsidR="00315C04">
        <w:rPr>
          <w:b/>
          <w:sz w:val="28"/>
          <w:szCs w:val="28"/>
        </w:rPr>
        <w:t>12 april</w:t>
      </w:r>
      <w:r w:rsidR="001D5559">
        <w:rPr>
          <w:b/>
          <w:sz w:val="28"/>
          <w:szCs w:val="28"/>
        </w:rPr>
        <w:t xml:space="preserve"> 201</w:t>
      </w:r>
      <w:r w:rsidR="00315C04">
        <w:rPr>
          <w:b/>
          <w:sz w:val="28"/>
          <w:szCs w:val="28"/>
        </w:rPr>
        <w:t>7</w:t>
      </w:r>
      <w:r w:rsidR="0013002F">
        <w:rPr>
          <w:b/>
          <w:sz w:val="28"/>
          <w:szCs w:val="28"/>
        </w:rPr>
        <w:t xml:space="preserve"> van 1</w:t>
      </w:r>
      <w:r w:rsidR="001D5559">
        <w:rPr>
          <w:b/>
          <w:sz w:val="28"/>
          <w:szCs w:val="28"/>
        </w:rPr>
        <w:t>4.0</w:t>
      </w:r>
      <w:r w:rsidR="0013002F">
        <w:rPr>
          <w:b/>
          <w:sz w:val="28"/>
          <w:szCs w:val="28"/>
        </w:rPr>
        <w:t>0</w:t>
      </w:r>
      <w:r w:rsidR="003B6433">
        <w:rPr>
          <w:b/>
          <w:sz w:val="28"/>
          <w:szCs w:val="28"/>
        </w:rPr>
        <w:t xml:space="preserve"> uur tot 1</w:t>
      </w:r>
      <w:r w:rsidR="001D5559">
        <w:rPr>
          <w:b/>
          <w:sz w:val="28"/>
          <w:szCs w:val="28"/>
        </w:rPr>
        <w:t>6.3</w:t>
      </w:r>
      <w:r>
        <w:rPr>
          <w:b/>
          <w:sz w:val="28"/>
          <w:szCs w:val="28"/>
        </w:rPr>
        <w:t>0 uur</w:t>
      </w:r>
    </w:p>
    <w:p w:rsidR="001835D7" w:rsidRDefault="00584B0F" w:rsidP="00745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45AD5">
        <w:rPr>
          <w:b/>
          <w:sz w:val="28"/>
          <w:szCs w:val="28"/>
        </w:rPr>
        <w:t xml:space="preserve">locatie </w:t>
      </w:r>
      <w:r w:rsidR="00DE09CD">
        <w:rPr>
          <w:b/>
          <w:sz w:val="28"/>
          <w:szCs w:val="28"/>
        </w:rPr>
        <w:t>raadzaal va</w:t>
      </w:r>
      <w:r w:rsidR="00831E1F">
        <w:rPr>
          <w:b/>
          <w:sz w:val="28"/>
          <w:szCs w:val="28"/>
        </w:rPr>
        <w:t>n</w:t>
      </w:r>
      <w:r w:rsidR="00DF2771">
        <w:rPr>
          <w:b/>
          <w:sz w:val="28"/>
          <w:szCs w:val="28"/>
        </w:rPr>
        <w:t xml:space="preserve"> het </w:t>
      </w:r>
      <w:r w:rsidR="00745AD5">
        <w:rPr>
          <w:b/>
          <w:sz w:val="28"/>
          <w:szCs w:val="28"/>
        </w:rPr>
        <w:t xml:space="preserve">cultuurhuis Pléiade, </w:t>
      </w:r>
    </w:p>
    <w:p w:rsidR="00745AD5" w:rsidRDefault="00745AD5" w:rsidP="00745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Kerkplein 2, 3941 HV te Doorn</w:t>
      </w:r>
      <w:r w:rsidR="00DF2771">
        <w:rPr>
          <w:b/>
          <w:sz w:val="28"/>
          <w:szCs w:val="28"/>
        </w:rPr>
        <w:t xml:space="preserve"> </w:t>
      </w:r>
    </w:p>
    <w:p w:rsidR="00745AD5" w:rsidRDefault="00745AD5" w:rsidP="003B4B0B">
      <w:pPr>
        <w:rPr>
          <w:sz w:val="21"/>
        </w:rPr>
      </w:pPr>
    </w:p>
    <w:p w:rsidR="00745AD5" w:rsidRDefault="00745AD5" w:rsidP="003B4B0B">
      <w:pPr>
        <w:rPr>
          <w:sz w:val="21"/>
        </w:rPr>
      </w:pPr>
    </w:p>
    <w:p w:rsidR="006A4B37" w:rsidRDefault="00745AD5" w:rsidP="006A4B37">
      <w:pPr>
        <w:numPr>
          <w:ilvl w:val="0"/>
          <w:numId w:val="23"/>
        </w:numPr>
        <w:rPr>
          <w:b/>
          <w:sz w:val="22"/>
          <w:szCs w:val="22"/>
        </w:rPr>
      </w:pPr>
      <w:r w:rsidRPr="004D43C8">
        <w:rPr>
          <w:b/>
          <w:sz w:val="22"/>
          <w:szCs w:val="22"/>
        </w:rPr>
        <w:t>Opening</w:t>
      </w:r>
      <w:r w:rsidRPr="004D43C8">
        <w:rPr>
          <w:sz w:val="22"/>
          <w:szCs w:val="22"/>
        </w:rPr>
        <w:t xml:space="preserve"> </w:t>
      </w:r>
      <w:r w:rsidR="003B2248" w:rsidRPr="004D43C8">
        <w:rPr>
          <w:b/>
          <w:sz w:val="22"/>
          <w:szCs w:val="22"/>
        </w:rPr>
        <w:t>en m</w:t>
      </w:r>
      <w:r w:rsidRPr="004D43C8">
        <w:rPr>
          <w:b/>
          <w:sz w:val="22"/>
          <w:szCs w:val="22"/>
        </w:rPr>
        <w:t>ededelingen</w:t>
      </w:r>
      <w:r w:rsidR="00F47500" w:rsidRPr="004D43C8">
        <w:rPr>
          <w:b/>
          <w:sz w:val="22"/>
          <w:szCs w:val="22"/>
        </w:rPr>
        <w:t xml:space="preserve"> </w:t>
      </w:r>
    </w:p>
    <w:p w:rsidR="004D43C8" w:rsidRPr="004D43C8" w:rsidRDefault="004D43C8" w:rsidP="004D43C8">
      <w:pPr>
        <w:ind w:left="502"/>
        <w:rPr>
          <w:b/>
          <w:sz w:val="22"/>
          <w:szCs w:val="22"/>
        </w:rPr>
      </w:pPr>
    </w:p>
    <w:p w:rsidR="00745AD5" w:rsidRPr="00AE646C" w:rsidRDefault="003B6433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 xml:space="preserve">Verslag van de </w:t>
      </w:r>
      <w:r w:rsidR="00A8713E">
        <w:rPr>
          <w:b/>
          <w:sz w:val="22"/>
          <w:szCs w:val="22"/>
        </w:rPr>
        <w:t>bijeenkomst van</w:t>
      </w:r>
      <w:r w:rsidR="001D5559">
        <w:rPr>
          <w:b/>
          <w:sz w:val="22"/>
          <w:szCs w:val="22"/>
        </w:rPr>
        <w:t xml:space="preserve"> </w:t>
      </w:r>
      <w:r w:rsidR="00315C04">
        <w:rPr>
          <w:b/>
          <w:sz w:val="22"/>
          <w:szCs w:val="22"/>
        </w:rPr>
        <w:t>5 oktober 2016</w:t>
      </w:r>
      <w:r w:rsidR="00A8713E">
        <w:rPr>
          <w:b/>
          <w:sz w:val="22"/>
          <w:szCs w:val="22"/>
        </w:rPr>
        <w:t xml:space="preserve"> </w:t>
      </w:r>
      <w:r w:rsidR="006A4B37" w:rsidRPr="006A4B37">
        <w:rPr>
          <w:b/>
          <w:sz w:val="22"/>
          <w:szCs w:val="22"/>
        </w:rPr>
        <w:t xml:space="preserve"> </w:t>
      </w:r>
      <w:r w:rsidRPr="006A4B37">
        <w:rPr>
          <w:b/>
          <w:sz w:val="22"/>
          <w:szCs w:val="22"/>
        </w:rPr>
        <w:t xml:space="preserve"> </w:t>
      </w:r>
      <w:r w:rsidRPr="006A4B37">
        <w:rPr>
          <w:sz w:val="22"/>
          <w:szCs w:val="22"/>
        </w:rPr>
        <w:t>(bijgevoegd)</w:t>
      </w:r>
    </w:p>
    <w:p w:rsidR="000B4D22" w:rsidRPr="000B4D22" w:rsidRDefault="000B4D22" w:rsidP="000B4D22">
      <w:pPr>
        <w:pStyle w:val="Lijstalinea"/>
        <w:rPr>
          <w:b/>
          <w:sz w:val="22"/>
          <w:szCs w:val="22"/>
        </w:rPr>
      </w:pPr>
    </w:p>
    <w:p w:rsidR="00315C04" w:rsidRDefault="00315C04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Verruiming gemeentelijk belastinggebied</w:t>
      </w:r>
    </w:p>
    <w:p w:rsidR="00315C04" w:rsidRDefault="00315C04" w:rsidP="00315C04">
      <w:pPr>
        <w:ind w:left="502"/>
        <w:rPr>
          <w:sz w:val="22"/>
          <w:szCs w:val="22"/>
        </w:rPr>
      </w:pPr>
      <w:r w:rsidRPr="00315C04">
        <w:rPr>
          <w:sz w:val="22"/>
          <w:szCs w:val="22"/>
        </w:rPr>
        <w:t>De heer R. Verkuilen van de VNG verzorgt een presentatie over de verruiming van het gemeentelijk belastinggebied.</w:t>
      </w:r>
      <w:r>
        <w:rPr>
          <w:sz w:val="22"/>
          <w:szCs w:val="22"/>
        </w:rPr>
        <w:t xml:space="preserve"> </w:t>
      </w:r>
      <w:r w:rsidRPr="00315C04">
        <w:rPr>
          <w:sz w:val="22"/>
          <w:szCs w:val="22"/>
        </w:rPr>
        <w:t xml:space="preserve"> </w:t>
      </w:r>
    </w:p>
    <w:p w:rsidR="007B5DB7" w:rsidRDefault="007B5DB7" w:rsidP="00315C04">
      <w:pPr>
        <w:ind w:left="502"/>
        <w:rPr>
          <w:sz w:val="22"/>
          <w:szCs w:val="22"/>
        </w:rPr>
      </w:pPr>
    </w:p>
    <w:p w:rsidR="007B5DB7" w:rsidRDefault="007B5DB7" w:rsidP="007B5DB7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Korte pauze</w:t>
      </w:r>
    </w:p>
    <w:p w:rsidR="0013002F" w:rsidRPr="0013002F" w:rsidRDefault="0013002F" w:rsidP="0013002F">
      <w:pPr>
        <w:pStyle w:val="Lijstalinea"/>
        <w:rPr>
          <w:b/>
          <w:sz w:val="22"/>
          <w:szCs w:val="22"/>
        </w:rPr>
      </w:pPr>
    </w:p>
    <w:p w:rsidR="001D5559" w:rsidRPr="00315C04" w:rsidRDefault="00315C04" w:rsidP="00745AD5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Rapport “Eerst de politiek, dan de techniek, spelregels voor toekomstig bestendige verhoudingen” van de Raad voor de financi</w:t>
      </w:r>
      <w:r>
        <w:rPr>
          <w:rFonts w:ascii="Times New Roman" w:hAnsi="Times New Roman"/>
          <w:b/>
          <w:sz w:val="22"/>
          <w:szCs w:val="22"/>
        </w:rPr>
        <w:t>ële verhoudingen”</w:t>
      </w:r>
    </w:p>
    <w:p w:rsidR="00315C04" w:rsidRPr="00315C04" w:rsidRDefault="00315C04" w:rsidP="00315C04">
      <w:pPr>
        <w:pStyle w:val="Lijstalinea"/>
        <w:ind w:left="502"/>
        <w:rPr>
          <w:sz w:val="22"/>
          <w:szCs w:val="22"/>
        </w:rPr>
      </w:pPr>
      <w:r>
        <w:rPr>
          <w:sz w:val="22"/>
          <w:szCs w:val="22"/>
        </w:rPr>
        <w:t xml:space="preserve">De heer </w:t>
      </w:r>
      <w:r w:rsidR="001E4E9D">
        <w:rPr>
          <w:sz w:val="22"/>
          <w:szCs w:val="22"/>
        </w:rPr>
        <w:t xml:space="preserve">mr. Gerber van </w:t>
      </w:r>
      <w:proofErr w:type="spellStart"/>
      <w:r w:rsidR="001E4E9D">
        <w:rPr>
          <w:sz w:val="22"/>
          <w:szCs w:val="22"/>
        </w:rPr>
        <w:t>Nijendaal</w:t>
      </w:r>
      <w:proofErr w:type="spellEnd"/>
      <w:r w:rsidR="001E4E9D">
        <w:rPr>
          <w:sz w:val="22"/>
          <w:szCs w:val="22"/>
        </w:rPr>
        <w:t xml:space="preserve">, </w:t>
      </w:r>
      <w:proofErr w:type="spellStart"/>
      <w:r w:rsidR="001E4E9D">
        <w:rPr>
          <w:sz w:val="22"/>
          <w:szCs w:val="22"/>
        </w:rPr>
        <w:t>plv</w:t>
      </w:r>
      <w:proofErr w:type="spellEnd"/>
      <w:r w:rsidR="001E4E9D">
        <w:rPr>
          <w:sz w:val="22"/>
          <w:szCs w:val="22"/>
        </w:rPr>
        <w:t xml:space="preserve">. secretaris van de Raad voor de financiële verhoudingen </w:t>
      </w:r>
      <w:r>
        <w:rPr>
          <w:sz w:val="22"/>
          <w:szCs w:val="22"/>
        </w:rPr>
        <w:t xml:space="preserve">zal een presentatie geven over dit rapport. </w:t>
      </w:r>
      <w:r w:rsidR="007B5DB7">
        <w:rPr>
          <w:sz w:val="22"/>
          <w:szCs w:val="22"/>
        </w:rPr>
        <w:t xml:space="preserve">Het is vooral ook de bedoeling om met elkaar over de uitkomsten van dit rapport in discussie te gaan. Natuurlijk bestaat de mogelijkheid om vragen te stellen aan de heer </w:t>
      </w:r>
      <w:r w:rsidR="001E4E9D">
        <w:rPr>
          <w:sz w:val="22"/>
          <w:szCs w:val="22"/>
        </w:rPr>
        <w:t>Van Nijendaal.</w:t>
      </w:r>
    </w:p>
    <w:p w:rsidR="0013002F" w:rsidRPr="0013002F" w:rsidRDefault="0013002F" w:rsidP="0013002F">
      <w:pPr>
        <w:pStyle w:val="Lijstalinea"/>
        <w:rPr>
          <w:b/>
          <w:sz w:val="22"/>
          <w:szCs w:val="22"/>
        </w:rPr>
      </w:pPr>
    </w:p>
    <w:p w:rsidR="007B5DB7" w:rsidRDefault="007B5DB7" w:rsidP="001D5559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Risicodeling tussen gemeenten binnen het sociaal domein.</w:t>
      </w:r>
    </w:p>
    <w:p w:rsidR="001D5559" w:rsidRPr="007B5DB7" w:rsidRDefault="007B5DB7" w:rsidP="007B5DB7">
      <w:pPr>
        <w:pStyle w:val="Lijstalinea"/>
        <w:ind w:left="502"/>
        <w:rPr>
          <w:sz w:val="22"/>
          <w:szCs w:val="22"/>
        </w:rPr>
      </w:pPr>
      <w:r w:rsidRPr="007B5DB7">
        <w:rPr>
          <w:sz w:val="22"/>
          <w:szCs w:val="22"/>
        </w:rPr>
        <w:t xml:space="preserve">De heer E. Westerhof </w:t>
      </w:r>
      <w:r w:rsidR="001D5559" w:rsidRPr="007B5DB7">
        <w:rPr>
          <w:sz w:val="22"/>
          <w:szCs w:val="22"/>
        </w:rPr>
        <w:t xml:space="preserve"> </w:t>
      </w:r>
      <w:r w:rsidRPr="007B5DB7">
        <w:rPr>
          <w:sz w:val="22"/>
          <w:szCs w:val="22"/>
        </w:rPr>
        <w:t>van de gemeente Zeist geeft een toelichting over dit onderwerp. Het is vooral ook de bedoeling om onderling ervaringen uit te wisselen over dit onderwerp.</w:t>
      </w:r>
    </w:p>
    <w:p w:rsidR="00A8713E" w:rsidRPr="006A4B37" w:rsidRDefault="00A8713E" w:rsidP="00A8713E">
      <w:pPr>
        <w:pStyle w:val="Lijstalinea"/>
        <w:tabs>
          <w:tab w:val="left" w:pos="142"/>
          <w:tab w:val="left" w:pos="567"/>
        </w:tabs>
        <w:ind w:left="862"/>
        <w:rPr>
          <w:b/>
          <w:sz w:val="22"/>
          <w:szCs w:val="22"/>
        </w:rPr>
      </w:pPr>
      <w:bookmarkStart w:id="0" w:name="_GoBack"/>
      <w:bookmarkEnd w:id="0"/>
    </w:p>
    <w:p w:rsidR="007C6ABA" w:rsidRPr="006A4B37" w:rsidRDefault="005F0BA3" w:rsidP="007C472C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7C6ABA" w:rsidRPr="006A4B37">
        <w:rPr>
          <w:b/>
          <w:sz w:val="22"/>
          <w:szCs w:val="22"/>
        </w:rPr>
        <w:t xml:space="preserve">at verder ter </w:t>
      </w:r>
      <w:r w:rsidR="001835D7">
        <w:rPr>
          <w:b/>
          <w:sz w:val="22"/>
          <w:szCs w:val="22"/>
        </w:rPr>
        <w:t xml:space="preserve"> </w:t>
      </w:r>
      <w:r w:rsidR="007C6ABA" w:rsidRPr="006A4B37">
        <w:rPr>
          <w:b/>
          <w:sz w:val="22"/>
          <w:szCs w:val="22"/>
        </w:rPr>
        <w:t>tafel komt</w:t>
      </w:r>
    </w:p>
    <w:p w:rsidR="003B2248" w:rsidRPr="006A4B37" w:rsidRDefault="002D02CA" w:rsidP="003B2248">
      <w:pPr>
        <w:ind w:left="360"/>
        <w:rPr>
          <w:sz w:val="22"/>
          <w:szCs w:val="22"/>
        </w:rPr>
      </w:pPr>
      <w:r w:rsidRPr="006A4B37">
        <w:rPr>
          <w:sz w:val="22"/>
          <w:szCs w:val="22"/>
        </w:rPr>
        <w:t xml:space="preserve">  </w:t>
      </w:r>
      <w:r w:rsidR="003B2248" w:rsidRPr="006A4B37">
        <w:rPr>
          <w:sz w:val="22"/>
          <w:szCs w:val="22"/>
        </w:rPr>
        <w:t xml:space="preserve">Inbreng eventuele verdere zaken die voor de </w:t>
      </w:r>
      <w:r w:rsidR="00EE3A67" w:rsidRPr="006A4B37">
        <w:rPr>
          <w:sz w:val="22"/>
          <w:szCs w:val="22"/>
        </w:rPr>
        <w:t xml:space="preserve">pijler c.q. het PMG </w:t>
      </w:r>
      <w:r w:rsidR="003B2248" w:rsidRPr="006A4B37">
        <w:rPr>
          <w:sz w:val="22"/>
          <w:szCs w:val="22"/>
        </w:rPr>
        <w:t xml:space="preserve">van belang zijn. </w:t>
      </w:r>
    </w:p>
    <w:p w:rsidR="007E0EA8" w:rsidRDefault="007E0EA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35D8E" w:rsidRPr="006A4B37" w:rsidRDefault="00635D8E" w:rsidP="003B2248">
      <w:pPr>
        <w:ind w:left="360"/>
        <w:rPr>
          <w:sz w:val="22"/>
          <w:szCs w:val="22"/>
        </w:rPr>
      </w:pPr>
    </w:p>
    <w:p w:rsidR="000B4D22" w:rsidRDefault="00635D8E" w:rsidP="00635D8E">
      <w:pPr>
        <w:pStyle w:val="Lijstalinea"/>
        <w:numPr>
          <w:ilvl w:val="0"/>
          <w:numId w:val="23"/>
        </w:numPr>
        <w:tabs>
          <w:tab w:val="left" w:pos="4678"/>
        </w:tabs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>Mogelijke onderwerpen volgende bijeenkomst</w:t>
      </w:r>
      <w:r w:rsidR="000B4D22">
        <w:rPr>
          <w:b/>
          <w:sz w:val="22"/>
          <w:szCs w:val="22"/>
        </w:rPr>
        <w:t xml:space="preserve"> </w:t>
      </w:r>
    </w:p>
    <w:p w:rsidR="00553D73" w:rsidRPr="007E0EA8" w:rsidRDefault="00553D73" w:rsidP="00553D73">
      <w:pPr>
        <w:pStyle w:val="Lijstalinea"/>
        <w:numPr>
          <w:ilvl w:val="0"/>
          <w:numId w:val="30"/>
        </w:numPr>
        <w:spacing w:after="200" w:line="276" w:lineRule="auto"/>
        <w:rPr>
          <w:rFonts w:ascii="Verdana" w:hAnsi="Verdana"/>
          <w:sz w:val="22"/>
          <w:szCs w:val="22"/>
        </w:rPr>
      </w:pPr>
      <w:r w:rsidRPr="007E0EA8">
        <w:rPr>
          <w:sz w:val="22"/>
          <w:szCs w:val="22"/>
        </w:rPr>
        <w:t>de gevolgen van de beperking van de financiële middelen voor middelgrote gemeenten</w:t>
      </w:r>
    </w:p>
    <w:p w:rsidR="00553D73" w:rsidRPr="007E0EA8" w:rsidRDefault="00553D73" w:rsidP="00553D73">
      <w:pPr>
        <w:pStyle w:val="Lijstalinea"/>
        <w:numPr>
          <w:ilvl w:val="0"/>
          <w:numId w:val="30"/>
        </w:numPr>
        <w:spacing w:after="200" w:line="276" w:lineRule="auto"/>
        <w:rPr>
          <w:sz w:val="22"/>
          <w:szCs w:val="22"/>
        </w:rPr>
      </w:pPr>
      <w:r w:rsidRPr="007E0EA8">
        <w:rPr>
          <w:sz w:val="22"/>
          <w:szCs w:val="22"/>
        </w:rPr>
        <w:t>keuzes in bezuinigingen</w:t>
      </w:r>
    </w:p>
    <w:p w:rsidR="00553D73" w:rsidRPr="007E0EA8" w:rsidRDefault="00553D73" w:rsidP="00553D73">
      <w:pPr>
        <w:pStyle w:val="Lijstalinea"/>
        <w:numPr>
          <w:ilvl w:val="0"/>
          <w:numId w:val="30"/>
        </w:numPr>
        <w:spacing w:after="200" w:line="276" w:lineRule="auto"/>
        <w:rPr>
          <w:sz w:val="22"/>
          <w:szCs w:val="22"/>
        </w:rPr>
      </w:pPr>
      <w:r w:rsidRPr="007E0EA8">
        <w:rPr>
          <w:sz w:val="22"/>
          <w:szCs w:val="22"/>
        </w:rPr>
        <w:t>risicodeling: kansen en valkuilen</w:t>
      </w:r>
    </w:p>
    <w:p w:rsidR="00553D73" w:rsidRPr="007E0EA8" w:rsidRDefault="00553D73" w:rsidP="00553D73">
      <w:pPr>
        <w:pStyle w:val="Lijstalinea"/>
        <w:numPr>
          <w:ilvl w:val="0"/>
          <w:numId w:val="30"/>
        </w:numPr>
        <w:spacing w:after="200" w:line="276" w:lineRule="auto"/>
        <w:rPr>
          <w:sz w:val="22"/>
          <w:szCs w:val="22"/>
        </w:rPr>
      </w:pPr>
      <w:r w:rsidRPr="007E0EA8">
        <w:rPr>
          <w:sz w:val="22"/>
          <w:szCs w:val="22"/>
        </w:rPr>
        <w:t>subsidieverstrekking</w:t>
      </w:r>
    </w:p>
    <w:p w:rsidR="00553D73" w:rsidRPr="007E0EA8" w:rsidRDefault="00553D73" w:rsidP="00553D73">
      <w:pPr>
        <w:pStyle w:val="Lijstalinea"/>
        <w:numPr>
          <w:ilvl w:val="0"/>
          <w:numId w:val="30"/>
        </w:numPr>
        <w:spacing w:after="200" w:line="276" w:lineRule="auto"/>
        <w:rPr>
          <w:sz w:val="22"/>
          <w:szCs w:val="22"/>
        </w:rPr>
      </w:pPr>
      <w:proofErr w:type="spellStart"/>
      <w:r w:rsidRPr="007E0EA8">
        <w:rPr>
          <w:sz w:val="22"/>
          <w:szCs w:val="22"/>
        </w:rPr>
        <w:t>crowdfunding</w:t>
      </w:r>
      <w:proofErr w:type="spellEnd"/>
    </w:p>
    <w:p w:rsidR="00635D8E" w:rsidRDefault="00553D73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participatief begroten (werken met burgerbegrotingen)</w:t>
      </w:r>
    </w:p>
    <w:p w:rsidR="007B5DB7" w:rsidRPr="001C3AB1" w:rsidRDefault="007B5DB7" w:rsidP="005A385D">
      <w:pPr>
        <w:pStyle w:val="Lijstalinea"/>
        <w:numPr>
          <w:ilvl w:val="0"/>
          <w:numId w:val="24"/>
        </w:numPr>
        <w:tabs>
          <w:tab w:val="left" w:pos="4678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Methode </w:t>
      </w:r>
      <w:proofErr w:type="spellStart"/>
      <w:r>
        <w:rPr>
          <w:sz w:val="22"/>
          <w:szCs w:val="22"/>
        </w:rPr>
        <w:t>Duisenberg</w:t>
      </w:r>
      <w:proofErr w:type="spellEnd"/>
      <w:r>
        <w:rPr>
          <w:sz w:val="22"/>
          <w:szCs w:val="22"/>
        </w:rPr>
        <w:t>: Hoe kan de raad de begroting en de verantwoording beter controleren?</w:t>
      </w:r>
    </w:p>
    <w:p w:rsidR="00635D8E" w:rsidRPr="001C3AB1" w:rsidRDefault="00635D8E" w:rsidP="001C3AB1">
      <w:pPr>
        <w:ind w:left="360"/>
        <w:rPr>
          <w:b/>
          <w:sz w:val="22"/>
          <w:szCs w:val="22"/>
        </w:rPr>
      </w:pPr>
    </w:p>
    <w:p w:rsidR="00553D73" w:rsidRDefault="00553D73" w:rsidP="00553D73">
      <w:pPr>
        <w:pStyle w:val="Lijstalinea"/>
        <w:numPr>
          <w:ilvl w:val="0"/>
          <w:numId w:val="2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Bijeenkomsten 2017</w:t>
      </w:r>
    </w:p>
    <w:p w:rsidR="00700DE4" w:rsidRPr="00553D73" w:rsidRDefault="00553D73" w:rsidP="00553D73">
      <w:pPr>
        <w:pStyle w:val="Lijstalinea"/>
        <w:ind w:left="502"/>
        <w:rPr>
          <w:sz w:val="22"/>
          <w:szCs w:val="22"/>
        </w:rPr>
      </w:pPr>
      <w:r>
        <w:rPr>
          <w:sz w:val="22"/>
          <w:szCs w:val="22"/>
        </w:rPr>
        <w:t>Voorstel:</w:t>
      </w:r>
      <w:r w:rsidR="00700DE4">
        <w:rPr>
          <w:sz w:val="22"/>
          <w:szCs w:val="22"/>
        </w:rPr>
        <w:t xml:space="preserve">                 woensdag  11 oktober 2017</w:t>
      </w:r>
      <w:r w:rsidR="007E0EA8">
        <w:rPr>
          <w:sz w:val="22"/>
          <w:szCs w:val="22"/>
        </w:rPr>
        <w:br/>
      </w:r>
    </w:p>
    <w:p w:rsidR="009717FA" w:rsidRPr="006A4B37" w:rsidRDefault="009717FA" w:rsidP="001C3AB1">
      <w:pPr>
        <w:pStyle w:val="Lijstalinea"/>
        <w:numPr>
          <w:ilvl w:val="0"/>
          <w:numId w:val="23"/>
        </w:numPr>
        <w:tabs>
          <w:tab w:val="clear" w:pos="502"/>
        </w:tabs>
        <w:rPr>
          <w:b/>
          <w:sz w:val="22"/>
          <w:szCs w:val="22"/>
        </w:rPr>
      </w:pPr>
      <w:r w:rsidRPr="006A4B37">
        <w:rPr>
          <w:b/>
          <w:sz w:val="22"/>
          <w:szCs w:val="22"/>
        </w:rPr>
        <w:t>Rondvraag en sluiting</w:t>
      </w:r>
    </w:p>
    <w:sectPr w:rsidR="009717FA" w:rsidRPr="006A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55A5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7A4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7E1A5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594F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793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09CA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573F91"/>
    <w:multiLevelType w:val="hybridMultilevel"/>
    <w:tmpl w:val="3814CEDE"/>
    <w:lvl w:ilvl="0" w:tplc="C0AAED74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700A7A"/>
    <w:multiLevelType w:val="hybridMultilevel"/>
    <w:tmpl w:val="52669A8A"/>
    <w:lvl w:ilvl="0" w:tplc="738C2CA6"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5A51EA7"/>
    <w:multiLevelType w:val="hybridMultilevel"/>
    <w:tmpl w:val="37703D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766A"/>
    <w:multiLevelType w:val="multilevel"/>
    <w:tmpl w:val="B3C07620"/>
    <w:styleLink w:val="Numberedlist"/>
    <w:lvl w:ilvl="0">
      <w:start w:val="1"/>
      <w:numFmt w:val="decimal"/>
      <w:pStyle w:val="Lijstnummering"/>
      <w:isLgl/>
      <w:suff w:val="space"/>
      <w:lvlText w:val="%1."/>
      <w:lvlJc w:val="left"/>
      <w:pPr>
        <w:ind w:left="0" w:firstLine="0"/>
      </w:pPr>
      <w:rPr>
        <w:rFonts w:ascii="Palatino Linotype" w:hAnsi="Palatino Linotype"/>
        <w:spacing w:val="0"/>
        <w:w w:val="100"/>
        <w:position w:val="0"/>
        <w:sz w:val="17"/>
        <w:szCs w:val="17"/>
      </w:rPr>
    </w:lvl>
    <w:lvl w:ilvl="1">
      <w:start w:val="1"/>
      <w:numFmt w:val="decimal"/>
      <w:pStyle w:val="Lijstnummering2"/>
      <w:suff w:val="space"/>
      <w:lvlText w:val="%1.%2."/>
      <w:lvlJc w:val="left"/>
      <w:pPr>
        <w:ind w:left="680" w:firstLine="0"/>
      </w:pPr>
      <w:rPr>
        <w:rFonts w:ascii="Palatino Linotype" w:hAnsi="Palatino Linotype"/>
        <w:sz w:val="17"/>
        <w:szCs w:val="17"/>
      </w:rPr>
    </w:lvl>
    <w:lvl w:ilvl="2">
      <w:start w:val="1"/>
      <w:numFmt w:val="decimal"/>
      <w:pStyle w:val="Lijstnummering3"/>
      <w:suff w:val="space"/>
      <w:lvlText w:val="%1.%2.%3.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33A14AD"/>
    <w:multiLevelType w:val="multilevel"/>
    <w:tmpl w:val="50E4B122"/>
    <w:lvl w:ilvl="0">
      <w:start w:val="1"/>
      <w:numFmt w:val="bullet"/>
      <w:pStyle w:val="Lijstopsomteken"/>
      <w:suff w:val="space"/>
      <w:lvlText w:val=""/>
      <w:lvlJc w:val="left"/>
      <w:pPr>
        <w:ind w:left="0" w:firstLine="0"/>
      </w:pPr>
      <w:rPr>
        <w:rFonts w:ascii="Palatino Linotype" w:hAnsi="Palatino Linotype"/>
        <w:color w:val="auto"/>
        <w:sz w:val="17"/>
        <w:szCs w:val="17"/>
      </w:rPr>
    </w:lvl>
    <w:lvl w:ilvl="1">
      <w:start w:val="1"/>
      <w:numFmt w:val="bullet"/>
      <w:pStyle w:val="Lijstopsomteken2"/>
      <w:suff w:val="space"/>
      <w:lvlText w:val=""/>
      <w:lvlJc w:val="left"/>
      <w:pPr>
        <w:ind w:left="680" w:firstLine="0"/>
      </w:pPr>
      <w:rPr>
        <w:rFonts w:ascii="Palatino Linotype" w:hAnsi="Palatino Linotype"/>
        <w:color w:val="auto"/>
        <w:sz w:val="17"/>
        <w:szCs w:val="17"/>
      </w:rPr>
    </w:lvl>
    <w:lvl w:ilvl="2">
      <w:start w:val="1"/>
      <w:numFmt w:val="bullet"/>
      <w:lvlRestart w:val="0"/>
      <w:pStyle w:val="Lijstopsomteken3"/>
      <w:suff w:val="space"/>
      <w:lvlText w:val="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281"/>
        </w:tabs>
        <w:ind w:left="528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001"/>
        </w:tabs>
        <w:ind w:left="600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361"/>
        </w:tabs>
        <w:ind w:left="6361" w:hanging="360"/>
      </w:pPr>
      <w:rPr>
        <w:rFonts w:ascii="Symbol" w:hAnsi="Symbol" w:hint="default"/>
      </w:rPr>
    </w:lvl>
  </w:abstractNum>
  <w:abstractNum w:abstractNumId="11">
    <w:nsid w:val="2C7F3474"/>
    <w:multiLevelType w:val="hybridMultilevel"/>
    <w:tmpl w:val="C10092AA"/>
    <w:lvl w:ilvl="0" w:tplc="7D8012E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240D6"/>
    <w:multiLevelType w:val="multilevel"/>
    <w:tmpl w:val="80EE99D2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 w:val="0"/>
        <w:i w:val="0"/>
        <w:sz w:val="48"/>
        <w:szCs w:val="48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4E60DD0"/>
    <w:multiLevelType w:val="hybridMultilevel"/>
    <w:tmpl w:val="2D267BCA"/>
    <w:lvl w:ilvl="0" w:tplc="0408E4C0">
      <w:numFmt w:val="bullet"/>
      <w:lvlText w:val="-"/>
      <w:lvlJc w:val="left"/>
      <w:pPr>
        <w:ind w:left="862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616EF6"/>
    <w:multiLevelType w:val="hybridMultilevel"/>
    <w:tmpl w:val="16F64F68"/>
    <w:lvl w:ilvl="0" w:tplc="F7A29D8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66CA1"/>
    <w:multiLevelType w:val="multilevel"/>
    <w:tmpl w:val="D3A85AE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C55B5B"/>
    <w:multiLevelType w:val="hybridMultilevel"/>
    <w:tmpl w:val="B7FCC7C4"/>
    <w:lvl w:ilvl="0" w:tplc="4E600EE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DF08C8"/>
    <w:multiLevelType w:val="hybridMultilevel"/>
    <w:tmpl w:val="C2D26F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0"/>
  </w:num>
  <w:num w:numId="13">
    <w:abstractNumId w:val="2"/>
  </w:num>
  <w:num w:numId="14">
    <w:abstractNumId w:val="10"/>
  </w:num>
  <w:num w:numId="15">
    <w:abstractNumId w:val="4"/>
  </w:num>
  <w:num w:numId="16">
    <w:abstractNumId w:val="9"/>
  </w:num>
  <w:num w:numId="17">
    <w:abstractNumId w:val="1"/>
  </w:num>
  <w:num w:numId="18">
    <w:abstractNumId w:val="9"/>
  </w:num>
  <w:num w:numId="19">
    <w:abstractNumId w:val="0"/>
  </w:num>
  <w:num w:numId="20">
    <w:abstractNumId w:val="9"/>
  </w:num>
  <w:num w:numId="21">
    <w:abstractNumId w:val="9"/>
  </w:num>
  <w:num w:numId="22">
    <w:abstractNumId w:val="8"/>
  </w:num>
  <w:num w:numId="23">
    <w:abstractNumId w:val="15"/>
  </w:num>
  <w:num w:numId="24">
    <w:abstractNumId w:val="6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D5"/>
    <w:rsid w:val="000043D3"/>
    <w:rsid w:val="000448EF"/>
    <w:rsid w:val="00060457"/>
    <w:rsid w:val="000702B9"/>
    <w:rsid w:val="000B0E45"/>
    <w:rsid w:val="000B3E0C"/>
    <w:rsid w:val="000B4D22"/>
    <w:rsid w:val="000F60F6"/>
    <w:rsid w:val="001047F9"/>
    <w:rsid w:val="001061F6"/>
    <w:rsid w:val="0013002F"/>
    <w:rsid w:val="001835D7"/>
    <w:rsid w:val="001C3AB1"/>
    <w:rsid w:val="001D5559"/>
    <w:rsid w:val="001E4E9D"/>
    <w:rsid w:val="001F2C59"/>
    <w:rsid w:val="00217133"/>
    <w:rsid w:val="002225FB"/>
    <w:rsid w:val="00244101"/>
    <w:rsid w:val="00261E6C"/>
    <w:rsid w:val="00265798"/>
    <w:rsid w:val="00287F21"/>
    <w:rsid w:val="002D02CA"/>
    <w:rsid w:val="002E3735"/>
    <w:rsid w:val="002E3E88"/>
    <w:rsid w:val="002E68EC"/>
    <w:rsid w:val="0030770F"/>
    <w:rsid w:val="00315C04"/>
    <w:rsid w:val="0034342E"/>
    <w:rsid w:val="00350B8A"/>
    <w:rsid w:val="003B2248"/>
    <w:rsid w:val="003B4B0B"/>
    <w:rsid w:val="003B6433"/>
    <w:rsid w:val="003F7599"/>
    <w:rsid w:val="00413790"/>
    <w:rsid w:val="00424D8D"/>
    <w:rsid w:val="004B1C3B"/>
    <w:rsid w:val="004D43C8"/>
    <w:rsid w:val="004F3D95"/>
    <w:rsid w:val="005036B1"/>
    <w:rsid w:val="00553D73"/>
    <w:rsid w:val="00563A6B"/>
    <w:rsid w:val="00584B0F"/>
    <w:rsid w:val="005A385D"/>
    <w:rsid w:val="005F0BA3"/>
    <w:rsid w:val="006079BC"/>
    <w:rsid w:val="00623B6D"/>
    <w:rsid w:val="0063242A"/>
    <w:rsid w:val="00635D8E"/>
    <w:rsid w:val="00637FFE"/>
    <w:rsid w:val="006606D3"/>
    <w:rsid w:val="006A0DB6"/>
    <w:rsid w:val="006A4B37"/>
    <w:rsid w:val="006A5EFF"/>
    <w:rsid w:val="006A74F3"/>
    <w:rsid w:val="006B0C93"/>
    <w:rsid w:val="006F383A"/>
    <w:rsid w:val="006F4967"/>
    <w:rsid w:val="00700DE4"/>
    <w:rsid w:val="0073110E"/>
    <w:rsid w:val="00745AD5"/>
    <w:rsid w:val="00753CD4"/>
    <w:rsid w:val="007B5DB7"/>
    <w:rsid w:val="007C472C"/>
    <w:rsid w:val="007C6ABA"/>
    <w:rsid w:val="007D6879"/>
    <w:rsid w:val="007E0EA8"/>
    <w:rsid w:val="008028BB"/>
    <w:rsid w:val="00831E1F"/>
    <w:rsid w:val="008617E2"/>
    <w:rsid w:val="00866949"/>
    <w:rsid w:val="008714E6"/>
    <w:rsid w:val="008A0642"/>
    <w:rsid w:val="008E7733"/>
    <w:rsid w:val="00902ED3"/>
    <w:rsid w:val="00932281"/>
    <w:rsid w:val="00957896"/>
    <w:rsid w:val="00962A1E"/>
    <w:rsid w:val="00965A49"/>
    <w:rsid w:val="009668C0"/>
    <w:rsid w:val="009717FA"/>
    <w:rsid w:val="00975779"/>
    <w:rsid w:val="009D4043"/>
    <w:rsid w:val="00A63FFE"/>
    <w:rsid w:val="00A80537"/>
    <w:rsid w:val="00A828D3"/>
    <w:rsid w:val="00A83277"/>
    <w:rsid w:val="00A8713E"/>
    <w:rsid w:val="00AB67B3"/>
    <w:rsid w:val="00AC121D"/>
    <w:rsid w:val="00AC3808"/>
    <w:rsid w:val="00AD567C"/>
    <w:rsid w:val="00AE646C"/>
    <w:rsid w:val="00AF333A"/>
    <w:rsid w:val="00B059B7"/>
    <w:rsid w:val="00B23E6F"/>
    <w:rsid w:val="00B31228"/>
    <w:rsid w:val="00B334C5"/>
    <w:rsid w:val="00B45468"/>
    <w:rsid w:val="00B93C54"/>
    <w:rsid w:val="00BE38EB"/>
    <w:rsid w:val="00BF4616"/>
    <w:rsid w:val="00C0204C"/>
    <w:rsid w:val="00C33BA7"/>
    <w:rsid w:val="00C50C4D"/>
    <w:rsid w:val="00C73C4C"/>
    <w:rsid w:val="00C83F44"/>
    <w:rsid w:val="00CA65E2"/>
    <w:rsid w:val="00CA6C83"/>
    <w:rsid w:val="00CB036B"/>
    <w:rsid w:val="00CF2AA3"/>
    <w:rsid w:val="00D0722A"/>
    <w:rsid w:val="00D13A68"/>
    <w:rsid w:val="00D53253"/>
    <w:rsid w:val="00D60B28"/>
    <w:rsid w:val="00DA225E"/>
    <w:rsid w:val="00DB0EBE"/>
    <w:rsid w:val="00DE09CD"/>
    <w:rsid w:val="00DE63FB"/>
    <w:rsid w:val="00DF2771"/>
    <w:rsid w:val="00E06847"/>
    <w:rsid w:val="00E23FB1"/>
    <w:rsid w:val="00E443CF"/>
    <w:rsid w:val="00EE3A67"/>
    <w:rsid w:val="00F10EDE"/>
    <w:rsid w:val="00F12127"/>
    <w:rsid w:val="00F47500"/>
    <w:rsid w:val="00F65754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Borders>
        <w:bottom w:val="single" w:sz="12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745A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A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Borders>
        <w:bottom w:val="single" w:sz="12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745A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A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1443</Characters>
  <Application>Microsoft Office Word</Application>
  <DocSecurity>0</DocSecurity>
  <Lines>51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Utrechtse Heuvelrug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Beumer</dc:creator>
  <cp:lastModifiedBy>Eric van Loon</cp:lastModifiedBy>
  <cp:revision>4</cp:revision>
  <cp:lastPrinted>2017-03-07T13:01:00Z</cp:lastPrinted>
  <dcterms:created xsi:type="dcterms:W3CDTF">2017-03-06T12:55:00Z</dcterms:created>
  <dcterms:modified xsi:type="dcterms:W3CDTF">2017-03-07T13:02:00Z</dcterms:modified>
</cp:coreProperties>
</file>